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9B" w:rsidRPr="00703017" w:rsidRDefault="008D6E9B" w:rsidP="00B32E8B">
      <w:pPr>
        <w:pStyle w:val="1"/>
        <w:numPr>
          <w:ilvl w:val="0"/>
          <w:numId w:val="0"/>
        </w:numPr>
        <w:rPr>
          <w:rFonts w:ascii="Arial" w:hAnsi="Arial" w:cs="Arial"/>
          <w:color w:val="548DD4"/>
          <w:sz w:val="20"/>
          <w:szCs w:val="20"/>
          <w:lang w:val="bg-BG"/>
        </w:rPr>
      </w:pPr>
      <w:r w:rsidRPr="00703017">
        <w:rPr>
          <w:rFonts w:ascii="Arial" w:hAnsi="Arial" w:cs="Arial"/>
          <w:color w:val="548DD4"/>
          <w:sz w:val="20"/>
          <w:szCs w:val="20"/>
          <w:lang w:val="bg-BG"/>
        </w:rPr>
        <w:t>Приложение: Сценарии на експозиция</w:t>
      </w:r>
    </w:p>
    <w:p w:rsidR="008D6E9B" w:rsidRPr="00703017" w:rsidRDefault="008D6E9B" w:rsidP="000248F1">
      <w:pPr>
        <w:jc w:val="both"/>
        <w:rPr>
          <w:rFonts w:ascii="Arial" w:hAnsi="Arial" w:cs="Arial"/>
          <w:sz w:val="20"/>
          <w:szCs w:val="20"/>
          <w:lang w:val="bg-BG"/>
        </w:rPr>
      </w:pPr>
      <w:r w:rsidRPr="00703017">
        <w:rPr>
          <w:rFonts w:ascii="Arial" w:hAnsi="Arial" w:cs="Arial"/>
          <w:sz w:val="20"/>
          <w:szCs w:val="20"/>
          <w:lang w:val="bg-BG"/>
        </w:rPr>
        <w:t xml:space="preserve">Настоящият документ включва всички сценарии на професионална експозиция и експозиция за околната среда (ES) за производството и използването </w:t>
      </w:r>
      <w:r w:rsidRPr="0070774F">
        <w:rPr>
          <w:rFonts w:ascii="Arial" w:hAnsi="Arial" w:cs="Arial"/>
          <w:sz w:val="20"/>
          <w:szCs w:val="20"/>
          <w:lang w:val="bg-BG"/>
        </w:rPr>
        <w:t xml:space="preserve">на CaO според изискванията на Регламента REACH (Regulation (EC) No </w:t>
      </w:r>
      <w:r w:rsidR="00676B60">
        <w:rPr>
          <w:rFonts w:ascii="Arial" w:hAnsi="Arial" w:cs="Arial"/>
          <w:sz w:val="20"/>
          <w:szCs w:val="20"/>
          <w:lang w:val="en-US"/>
        </w:rPr>
        <w:t>2015</w:t>
      </w:r>
      <w:r w:rsidR="00676B60">
        <w:rPr>
          <w:rFonts w:ascii="Arial" w:hAnsi="Arial" w:cs="Arial"/>
          <w:sz w:val="20"/>
          <w:szCs w:val="20"/>
          <w:lang w:val="bg-BG"/>
        </w:rPr>
        <w:t>/830</w:t>
      </w:r>
      <w:r w:rsidRPr="0070774F">
        <w:rPr>
          <w:rFonts w:ascii="Arial" w:hAnsi="Arial" w:cs="Arial"/>
          <w:sz w:val="20"/>
          <w:szCs w:val="20"/>
          <w:lang w:val="bg-BG"/>
        </w:rPr>
        <w:t>). За подготовката</w:t>
      </w:r>
      <w:r w:rsidRPr="00703017">
        <w:rPr>
          <w:rFonts w:ascii="Arial" w:hAnsi="Arial" w:cs="Arial"/>
          <w:sz w:val="20"/>
          <w:szCs w:val="20"/>
          <w:lang w:val="bg-BG"/>
        </w:rPr>
        <w:t xml:space="preserve"> му бяха използвани ES, Регламента и съответното Ръководство REACH. Бяха използвани още, за разглежданите потребители и процеси, </w:t>
      </w:r>
      <w:r>
        <w:rPr>
          <w:rFonts w:ascii="Arial" w:hAnsi="Arial" w:cs="Arial"/>
          <w:sz w:val="20"/>
          <w:szCs w:val="20"/>
          <w:lang w:val="bg-BG"/>
        </w:rPr>
        <w:t>„</w:t>
      </w:r>
      <w:r w:rsidRPr="00703017">
        <w:rPr>
          <w:rFonts w:ascii="Arial" w:hAnsi="Arial" w:cs="Arial"/>
          <w:sz w:val="20"/>
          <w:szCs w:val="20"/>
          <w:lang w:val="bg-BG"/>
        </w:rPr>
        <w:t>R.12 - Ръководство за дескрипторна система на употребите</w:t>
      </w:r>
      <w:r>
        <w:rPr>
          <w:rFonts w:ascii="Arial" w:hAnsi="Arial" w:cs="Arial"/>
          <w:sz w:val="20"/>
          <w:szCs w:val="20"/>
          <w:lang w:val="bg-BG"/>
        </w:rPr>
        <w:t>“</w:t>
      </w:r>
      <w:r w:rsidRPr="00703017">
        <w:rPr>
          <w:rFonts w:ascii="Arial" w:hAnsi="Arial" w:cs="Arial"/>
          <w:sz w:val="20"/>
          <w:szCs w:val="20"/>
          <w:lang w:val="bg-BG"/>
        </w:rPr>
        <w:t xml:space="preserve"> (Версия: 2, м. март 2010 г., ECHA-2010-G-05-EN), за описание и приложение на мерките за управление на риска (RMM), </w:t>
      </w:r>
      <w:r>
        <w:rPr>
          <w:rFonts w:ascii="Arial" w:hAnsi="Arial" w:cs="Arial"/>
          <w:sz w:val="20"/>
          <w:szCs w:val="20"/>
          <w:lang w:val="bg-BG"/>
        </w:rPr>
        <w:t>„</w:t>
      </w:r>
      <w:r w:rsidRPr="00703017">
        <w:rPr>
          <w:rFonts w:ascii="Arial" w:hAnsi="Arial" w:cs="Arial"/>
          <w:sz w:val="20"/>
          <w:szCs w:val="20"/>
          <w:lang w:val="bg-BG"/>
        </w:rPr>
        <w:t>R.13 – Ръководство за мерките за управление на риска</w:t>
      </w:r>
      <w:r>
        <w:rPr>
          <w:rFonts w:ascii="Arial" w:hAnsi="Arial" w:cs="Arial"/>
          <w:sz w:val="20"/>
          <w:szCs w:val="20"/>
          <w:lang w:val="bg-BG"/>
        </w:rPr>
        <w:t>“</w:t>
      </w:r>
      <w:r w:rsidRPr="00703017">
        <w:rPr>
          <w:rFonts w:ascii="Arial" w:hAnsi="Arial" w:cs="Arial"/>
          <w:sz w:val="20"/>
          <w:szCs w:val="20"/>
          <w:lang w:val="bg-BG"/>
        </w:rPr>
        <w:t xml:space="preserve"> (Версия: 1.1, м. май 2008 г.), за оценка на професионалната експозиция, </w:t>
      </w:r>
      <w:r>
        <w:rPr>
          <w:rFonts w:ascii="Arial" w:hAnsi="Arial" w:cs="Arial"/>
          <w:sz w:val="20"/>
          <w:szCs w:val="20"/>
          <w:lang w:val="bg-BG"/>
        </w:rPr>
        <w:t>„</w:t>
      </w:r>
      <w:r w:rsidRPr="00703017">
        <w:rPr>
          <w:rFonts w:ascii="Arial" w:hAnsi="Arial" w:cs="Arial"/>
          <w:sz w:val="20"/>
          <w:szCs w:val="20"/>
          <w:lang w:val="bg-BG"/>
        </w:rPr>
        <w:t xml:space="preserve">R.14 – Ръководство за оценка на професионалната експозиция” (Версия: 2, м. май 2010 г., </w:t>
      </w:r>
      <w:r w:rsidRPr="00703017">
        <w:rPr>
          <w:rFonts w:ascii="Arial" w:hAnsi="Arial" w:cs="Arial"/>
          <w:color w:val="000000"/>
          <w:sz w:val="20"/>
          <w:szCs w:val="20"/>
          <w:lang w:val="bg-BG"/>
        </w:rPr>
        <w:t>ECHA-2010-G-09-EN</w:t>
      </w:r>
      <w:r w:rsidRPr="00703017">
        <w:rPr>
          <w:rFonts w:ascii="Arial" w:hAnsi="Arial" w:cs="Arial"/>
          <w:sz w:val="20"/>
          <w:szCs w:val="20"/>
          <w:lang w:val="bg-BG"/>
        </w:rPr>
        <w:t xml:space="preserve">) и за оценка на фактическата експозиция за околната среда, </w:t>
      </w:r>
      <w:r>
        <w:rPr>
          <w:rFonts w:ascii="Arial" w:hAnsi="Arial" w:cs="Arial"/>
          <w:sz w:val="20"/>
          <w:szCs w:val="20"/>
          <w:lang w:val="bg-BG"/>
        </w:rPr>
        <w:t>„</w:t>
      </w:r>
      <w:r w:rsidRPr="00703017">
        <w:rPr>
          <w:rFonts w:ascii="Arial" w:hAnsi="Arial" w:cs="Arial"/>
          <w:sz w:val="20"/>
          <w:szCs w:val="20"/>
          <w:lang w:val="bg-BG"/>
        </w:rPr>
        <w:t>R.16 – Оценка на експозицията за околната среда” (Версия: 2, м. май 2010 г</w:t>
      </w:r>
      <w:r w:rsidRPr="007950B0">
        <w:rPr>
          <w:rFonts w:ascii="Arial" w:hAnsi="Arial" w:cs="Arial"/>
          <w:sz w:val="20"/>
          <w:szCs w:val="20"/>
          <w:lang w:val="bg-BG"/>
        </w:rPr>
        <w:t>.</w:t>
      </w:r>
      <w:r w:rsidRPr="00703017">
        <w:rPr>
          <w:rFonts w:ascii="Arial" w:hAnsi="Arial" w:cs="Arial"/>
          <w:sz w:val="20"/>
          <w:szCs w:val="20"/>
          <w:lang w:val="bg-BG"/>
        </w:rPr>
        <w:t>, ECHA-10-G-06-EN).</w:t>
      </w:r>
    </w:p>
    <w:p w:rsidR="008D6E9B" w:rsidRPr="00703017" w:rsidRDefault="008D6E9B" w:rsidP="000248F1">
      <w:pPr>
        <w:spacing w:before="200"/>
        <w:jc w:val="both"/>
        <w:rPr>
          <w:rFonts w:ascii="Arial" w:hAnsi="Arial" w:cs="Arial"/>
          <w:b/>
          <w:bCs/>
          <w:i/>
          <w:iCs/>
          <w:sz w:val="20"/>
          <w:szCs w:val="20"/>
          <w:u w:val="single"/>
          <w:lang w:val="bg-BG"/>
        </w:rPr>
      </w:pPr>
      <w:bookmarkStart w:id="0" w:name="_Toc270425121"/>
      <w:bookmarkStart w:id="1" w:name="_Toc254871502"/>
      <w:bookmarkStart w:id="2" w:name="_Ref266702534"/>
      <w:bookmarkStart w:id="3" w:name="_Toc270425123"/>
      <w:r w:rsidRPr="00703017">
        <w:rPr>
          <w:rFonts w:ascii="Arial" w:hAnsi="Arial" w:cs="Arial"/>
          <w:b/>
          <w:bCs/>
          <w:i/>
          <w:iCs/>
          <w:sz w:val="20"/>
          <w:szCs w:val="20"/>
          <w:u w:val="single"/>
          <w:lang w:val="bg-BG"/>
        </w:rPr>
        <w:t>Методология, използвана за оценка на експозицията за околната среда</w:t>
      </w:r>
      <w:bookmarkEnd w:id="0"/>
    </w:p>
    <w:p w:rsidR="008D6E9B" w:rsidRPr="00703017" w:rsidRDefault="008D6E9B" w:rsidP="000248F1">
      <w:pPr>
        <w:keepNext/>
        <w:spacing w:after="200"/>
        <w:jc w:val="both"/>
        <w:rPr>
          <w:rFonts w:ascii="Arial" w:hAnsi="Arial" w:cs="Arial"/>
          <w:sz w:val="20"/>
          <w:szCs w:val="20"/>
          <w:lang w:val="bg-BG"/>
        </w:rPr>
      </w:pPr>
      <w:r w:rsidRPr="00703017">
        <w:rPr>
          <w:rFonts w:ascii="Arial" w:hAnsi="Arial" w:cs="Arial"/>
          <w:sz w:val="20"/>
          <w:szCs w:val="20"/>
          <w:lang w:val="bg-BG"/>
        </w:rPr>
        <w:t>Сценариите на експозиция за околната среда се отнасят само до оценката на локалното въздействие, в т.ч. общинските пречиствателни станции за отпадни води (ПСОВ) или промишлените пречиствателни станции за отпадни води (ППСОВ), когато това е приложимо, за промишлените и професионалните начини на използване, както и всички други ефекти, които може да се очаква да се проявят на местно ниво.</w:t>
      </w:r>
    </w:p>
    <w:p w:rsidR="008D6E9B" w:rsidRPr="00703017" w:rsidRDefault="008D6E9B" w:rsidP="000248F1">
      <w:pPr>
        <w:keepNext/>
        <w:spacing w:after="200"/>
        <w:jc w:val="both"/>
        <w:rPr>
          <w:rFonts w:ascii="Arial" w:hAnsi="Arial" w:cs="Arial"/>
          <w:sz w:val="20"/>
          <w:szCs w:val="20"/>
          <w:u w:val="single"/>
          <w:lang w:val="bg-BG"/>
        </w:rPr>
      </w:pPr>
      <w:r w:rsidRPr="00703017">
        <w:rPr>
          <w:rFonts w:ascii="Arial" w:hAnsi="Arial" w:cs="Arial"/>
          <w:sz w:val="20"/>
          <w:szCs w:val="20"/>
          <w:u w:val="single"/>
          <w:lang w:val="bg-BG"/>
        </w:rPr>
        <w:t>1) Промишлени начини на използване (местен обхват)</w:t>
      </w:r>
    </w:p>
    <w:p w:rsidR="008D6E9B" w:rsidRPr="00703017" w:rsidRDefault="008D6E9B" w:rsidP="000248F1">
      <w:pPr>
        <w:keepNext/>
        <w:spacing w:after="200"/>
        <w:jc w:val="both"/>
        <w:rPr>
          <w:rFonts w:ascii="Arial" w:hAnsi="Arial" w:cs="Arial"/>
          <w:sz w:val="20"/>
          <w:szCs w:val="20"/>
          <w:lang w:val="bg-BG"/>
        </w:rPr>
      </w:pPr>
      <w:r w:rsidRPr="00703017">
        <w:rPr>
          <w:rFonts w:ascii="Arial" w:hAnsi="Arial" w:cs="Arial"/>
          <w:sz w:val="20"/>
          <w:szCs w:val="20"/>
          <w:lang w:val="bg-BG"/>
        </w:rPr>
        <w:t>Оценката на експозицията и риска се отнася само до водната среда, когато тя е засегната, вкл. ПСОВ и ППСОВ, тъй като емисиите на стадий производство засягат само водата (отпадна). Оценката на ефекта и риска за водата се отнася само до ефекти върху организмите/екосистемите, свързани с евентуалната промяна на pH поради изпускане на OH</w:t>
      </w:r>
      <w:r w:rsidRPr="00703017">
        <w:rPr>
          <w:rFonts w:ascii="Arial" w:hAnsi="Arial" w:cs="Arial"/>
          <w:sz w:val="20"/>
          <w:szCs w:val="20"/>
          <w:vertAlign w:val="superscript"/>
          <w:lang w:val="bg-BG"/>
        </w:rPr>
        <w:t>-</w:t>
      </w:r>
      <w:r w:rsidRPr="00703017">
        <w:rPr>
          <w:rFonts w:ascii="Arial" w:hAnsi="Arial" w:cs="Arial"/>
          <w:sz w:val="20"/>
          <w:szCs w:val="20"/>
          <w:lang w:val="bg-BG"/>
        </w:rPr>
        <w:t>. Оценката на експозицията за водната среда се занимава само с евентуалната промяна на pH в заустваните от ПСОВ или в повърхностните води поради изпускане на OH</w:t>
      </w:r>
      <w:r w:rsidRPr="00703017">
        <w:rPr>
          <w:rFonts w:ascii="Arial" w:hAnsi="Arial" w:cs="Arial"/>
          <w:sz w:val="20"/>
          <w:szCs w:val="20"/>
          <w:vertAlign w:val="superscript"/>
          <w:lang w:val="bg-BG"/>
        </w:rPr>
        <w:t>-</w:t>
      </w:r>
      <w:r w:rsidRPr="00703017">
        <w:rPr>
          <w:rFonts w:ascii="Arial" w:hAnsi="Arial" w:cs="Arial"/>
          <w:sz w:val="20"/>
          <w:szCs w:val="20"/>
          <w:lang w:val="bg-BG"/>
        </w:rPr>
        <w:t xml:space="preserve"> на местно ниво и се извършва чрез оценка на въздействието на достигнатото ниво на pH: pH на повърхностните води не трябва да надвишава 9 (най-общо казано, повечето водни организми могат да издържат на стойности на pH между 6 и 9).</w:t>
      </w:r>
    </w:p>
    <w:p w:rsidR="008D6E9B" w:rsidRPr="00703017" w:rsidRDefault="008D6E9B" w:rsidP="000248F1">
      <w:pPr>
        <w:keepNext/>
        <w:spacing w:after="200"/>
        <w:jc w:val="both"/>
        <w:rPr>
          <w:rFonts w:ascii="Arial" w:hAnsi="Arial" w:cs="Arial"/>
          <w:sz w:val="20"/>
          <w:szCs w:val="20"/>
          <w:u w:val="single"/>
          <w:lang w:val="bg-BG"/>
        </w:rPr>
      </w:pPr>
      <w:r w:rsidRPr="00703017">
        <w:rPr>
          <w:rFonts w:ascii="Arial" w:hAnsi="Arial" w:cs="Arial"/>
          <w:sz w:val="20"/>
          <w:szCs w:val="20"/>
          <w:lang w:val="bg-BG"/>
        </w:rPr>
        <w:t xml:space="preserve">Мерките за управление на риска за околната среда целят избягване на изпускания на разтвори </w:t>
      </w:r>
      <w:r w:rsidRPr="0070774F">
        <w:rPr>
          <w:rFonts w:ascii="Arial" w:hAnsi="Arial" w:cs="Arial"/>
          <w:sz w:val="20"/>
          <w:szCs w:val="20"/>
          <w:lang w:val="bg-BG"/>
        </w:rPr>
        <w:t>на CaO в</w:t>
      </w:r>
      <w:r w:rsidRPr="00703017">
        <w:rPr>
          <w:rFonts w:ascii="Arial" w:hAnsi="Arial" w:cs="Arial"/>
          <w:sz w:val="20"/>
          <w:szCs w:val="20"/>
          <w:lang w:val="bg-BG"/>
        </w:rPr>
        <w:t xml:space="preserve"> обществената канализация или в повърхностните води, когато се очаква тези изпускания да доведат до значителни промени на pH. Изисква се редовен контрол на нивото на pH в процеса на въвеждане на индустриалните в природните води. Изпусканията трябва да се извършват по такъв начин, че промяната в нивото на pH в приемащите повърхностни води да е минимално. pH на заустваната вода обикновено се измерва и може да бъде лесно неутрализирано, толкова че</w:t>
      </w:r>
      <w:bookmarkStart w:id="4" w:name="_Ref265780751"/>
      <w:r w:rsidRPr="00703017">
        <w:rPr>
          <w:rFonts w:ascii="Arial" w:hAnsi="Arial" w:cs="Arial"/>
          <w:sz w:val="20"/>
          <w:szCs w:val="20"/>
          <w:lang w:val="bg-BG"/>
        </w:rPr>
        <w:t>сто, колкото се изисква от националното законодателство.</w:t>
      </w:r>
      <w:bookmarkEnd w:id="4"/>
    </w:p>
    <w:p w:rsidR="008D6E9B" w:rsidRPr="00703017" w:rsidRDefault="008D6E9B" w:rsidP="000248F1">
      <w:pPr>
        <w:keepNext/>
        <w:spacing w:after="200"/>
        <w:jc w:val="both"/>
        <w:rPr>
          <w:rFonts w:ascii="Arial" w:hAnsi="Arial" w:cs="Arial"/>
          <w:sz w:val="20"/>
          <w:szCs w:val="20"/>
          <w:u w:val="single"/>
          <w:lang w:val="bg-BG"/>
        </w:rPr>
      </w:pPr>
      <w:r w:rsidRPr="00703017">
        <w:rPr>
          <w:rFonts w:ascii="Arial" w:hAnsi="Arial" w:cs="Arial"/>
          <w:sz w:val="20"/>
          <w:szCs w:val="20"/>
          <w:u w:val="single"/>
          <w:lang w:val="bg-BG"/>
        </w:rPr>
        <w:t>2) Професионални начини на използване (местен обхват)</w:t>
      </w:r>
    </w:p>
    <w:p w:rsidR="008D6E9B" w:rsidRPr="00703017" w:rsidRDefault="008D6E9B" w:rsidP="000248F1">
      <w:pPr>
        <w:jc w:val="both"/>
        <w:rPr>
          <w:rFonts w:ascii="Arial" w:hAnsi="Arial" w:cs="Arial"/>
          <w:sz w:val="20"/>
          <w:szCs w:val="20"/>
          <w:lang w:val="bg-BG"/>
        </w:rPr>
      </w:pPr>
      <w:r w:rsidRPr="00703017">
        <w:rPr>
          <w:rFonts w:ascii="Arial" w:hAnsi="Arial" w:cs="Arial"/>
          <w:sz w:val="20"/>
          <w:szCs w:val="20"/>
          <w:lang w:val="bg-BG"/>
        </w:rPr>
        <w:t>Оценката на експозицията и риска се отнася само до водната и земна среда. Ефектът за водата и оценката на риска се определят от ефекта на pH. Независимо от това се изчислява класическото съотношение на характеризиране на риска (RCR), основаващо се на PEC (предвижданата концентрация в околната среда) и PNEC (предвижд</w:t>
      </w:r>
      <w:r>
        <w:rPr>
          <w:rFonts w:ascii="Arial" w:hAnsi="Arial" w:cs="Arial"/>
          <w:sz w:val="20"/>
          <w:szCs w:val="20"/>
          <w:lang w:val="bg-BG"/>
        </w:rPr>
        <w:t xml:space="preserve">аната безопасна концентрация). </w:t>
      </w:r>
      <w:r w:rsidRPr="00703017">
        <w:rPr>
          <w:rFonts w:ascii="Arial" w:hAnsi="Arial" w:cs="Arial"/>
          <w:sz w:val="20"/>
          <w:szCs w:val="20"/>
          <w:lang w:val="bg-BG"/>
        </w:rPr>
        <w:t xml:space="preserve">Професионалните начини на използване на местно ниво са приложенията в селскостопанската и градска почва. Експозицията за околната среда се оценява на базата на наличната информация и един моделиращ инструмент. Моделиращият инструмент FOCUS/ </w:t>
      </w:r>
      <w:r w:rsidRPr="00703017">
        <w:rPr>
          <w:rFonts w:ascii="Arial" w:hAnsi="Arial" w:cs="Arial"/>
          <w:sz w:val="20"/>
          <w:szCs w:val="20"/>
          <w:lang w:val="bg-BG"/>
        </w:rPr>
        <w:lastRenderedPageBreak/>
        <w:t>Exposit се използва за оценка на сухоземната и водна експозиция (всъщност създаден за биоцидно приложение).</w:t>
      </w:r>
    </w:p>
    <w:p w:rsidR="008D6E9B" w:rsidRPr="00703017" w:rsidRDefault="008D6E9B" w:rsidP="000248F1">
      <w:pPr>
        <w:jc w:val="both"/>
        <w:rPr>
          <w:rFonts w:ascii="Arial" w:hAnsi="Arial" w:cs="Arial"/>
          <w:sz w:val="20"/>
          <w:szCs w:val="20"/>
          <w:lang w:val="bg-BG"/>
        </w:rPr>
      </w:pPr>
    </w:p>
    <w:p w:rsidR="008D6E9B" w:rsidRPr="00703017" w:rsidRDefault="008D6E9B" w:rsidP="000248F1">
      <w:pPr>
        <w:jc w:val="both"/>
        <w:rPr>
          <w:rFonts w:ascii="Arial" w:hAnsi="Arial" w:cs="Arial"/>
          <w:sz w:val="20"/>
          <w:szCs w:val="20"/>
          <w:lang w:val="bg-BG"/>
        </w:rPr>
      </w:pPr>
      <w:r w:rsidRPr="00703017">
        <w:rPr>
          <w:rFonts w:ascii="Arial" w:hAnsi="Arial" w:cs="Arial"/>
          <w:sz w:val="20"/>
          <w:szCs w:val="20"/>
          <w:lang w:val="bg-BG"/>
        </w:rPr>
        <w:t>Подробности и индикации за скалиране са представени в съответните сценарии.</w:t>
      </w:r>
    </w:p>
    <w:p w:rsidR="008D6E9B" w:rsidRPr="00703017" w:rsidRDefault="008D6E9B" w:rsidP="000248F1">
      <w:pPr>
        <w:spacing w:before="200"/>
        <w:jc w:val="both"/>
        <w:rPr>
          <w:rFonts w:ascii="Arial" w:hAnsi="Arial" w:cs="Arial"/>
          <w:b/>
          <w:bCs/>
          <w:i/>
          <w:iCs/>
          <w:sz w:val="20"/>
          <w:szCs w:val="20"/>
          <w:u w:val="single"/>
          <w:lang w:val="bg-BG"/>
        </w:rPr>
      </w:pPr>
      <w:r w:rsidRPr="00703017">
        <w:rPr>
          <w:rFonts w:ascii="Arial" w:hAnsi="Arial" w:cs="Arial"/>
          <w:b/>
          <w:bCs/>
          <w:i/>
          <w:iCs/>
          <w:sz w:val="20"/>
          <w:szCs w:val="20"/>
          <w:u w:val="single"/>
          <w:lang w:val="bg-BG"/>
        </w:rPr>
        <w:t>Методология,</w:t>
      </w:r>
      <w:bookmarkEnd w:id="1"/>
      <w:r w:rsidRPr="00703017">
        <w:rPr>
          <w:rFonts w:ascii="Arial" w:hAnsi="Arial" w:cs="Arial"/>
          <w:b/>
          <w:bCs/>
          <w:i/>
          <w:iCs/>
          <w:sz w:val="20"/>
          <w:szCs w:val="20"/>
          <w:u w:val="single"/>
          <w:lang w:val="bg-BG"/>
        </w:rPr>
        <w:t xml:space="preserve"> използвана за оценка на професионалната експозиция</w:t>
      </w:r>
      <w:bookmarkEnd w:id="2"/>
      <w:bookmarkEnd w:id="3"/>
    </w:p>
    <w:p w:rsidR="008D6E9B" w:rsidRPr="00703017" w:rsidRDefault="008D6E9B" w:rsidP="000248F1">
      <w:pPr>
        <w:jc w:val="both"/>
        <w:rPr>
          <w:rFonts w:ascii="Arial" w:hAnsi="Arial" w:cs="Arial"/>
          <w:sz w:val="20"/>
          <w:szCs w:val="20"/>
          <w:lang w:val="bg-BG"/>
        </w:rPr>
      </w:pPr>
      <w:r w:rsidRPr="00703017">
        <w:rPr>
          <w:rFonts w:ascii="Arial" w:hAnsi="Arial" w:cs="Arial"/>
          <w:sz w:val="20"/>
          <w:szCs w:val="20"/>
          <w:lang w:val="bg-BG"/>
        </w:rPr>
        <w:t xml:space="preserve">По определение, един сценарий на експозиция (ES) би трябвало да описва при какви работни условия (РУ) и мерки за управление на риска (RMMs) може да се борави безопасно с даденото вещество. Това е налице, ако очакваното ниво на експозиция е под съответното получено безопасно ниво (DNEL), което се изразява чрез съотношението на характеризиране на риска (RCR). За работниците, многократната доза DNEL за вдишване, както и еднократната максимална DNEL за вдишване, се базират на препоръките на научната комисия за границите на професионалната експозиция (SCOEL) и съответно са 1 mg/m³ и 4 mg/m³. </w:t>
      </w:r>
    </w:p>
    <w:p w:rsidR="008D6E9B" w:rsidRPr="00703017" w:rsidRDefault="008D6E9B" w:rsidP="000248F1">
      <w:pPr>
        <w:jc w:val="both"/>
        <w:rPr>
          <w:rFonts w:ascii="Arial" w:hAnsi="Arial" w:cs="Arial"/>
          <w:sz w:val="20"/>
          <w:szCs w:val="20"/>
          <w:lang w:val="bg-BG"/>
        </w:rPr>
      </w:pPr>
      <w:r w:rsidRPr="00703017">
        <w:rPr>
          <w:rFonts w:ascii="Arial" w:hAnsi="Arial" w:cs="Arial"/>
          <w:sz w:val="20"/>
          <w:szCs w:val="20"/>
          <w:lang w:val="bg-BG"/>
        </w:rPr>
        <w:t>В случаите, при които няма измервателни данни, нито дори аналогична информация, експозицията на хората се оценява с помощта на моделиращ инструмент. На първо ниво на скрийнинг, се използва инструментът MEASE (</w:t>
      </w:r>
      <w:hyperlink r:id="rId8" w:history="1">
        <w:r w:rsidRPr="00703017">
          <w:rPr>
            <w:rStyle w:val="ac"/>
            <w:rFonts w:ascii="Arial" w:hAnsi="Arial" w:cs="Arial"/>
            <w:sz w:val="20"/>
            <w:szCs w:val="20"/>
            <w:lang w:val="bg-BG"/>
          </w:rPr>
          <w:t>http://www.ebrc.de/mease.html</w:t>
        </w:r>
      </w:hyperlink>
      <w:r w:rsidRPr="00703017">
        <w:rPr>
          <w:rFonts w:ascii="Arial" w:hAnsi="Arial" w:cs="Arial"/>
          <w:sz w:val="20"/>
          <w:szCs w:val="20"/>
          <w:lang w:val="bg-BG"/>
        </w:rPr>
        <w:t>) за оценка на експозицията при вдишване в съответствие с Ръководството ECHA (R.14).</w:t>
      </w:r>
    </w:p>
    <w:p w:rsidR="008D6E9B" w:rsidRPr="00703017" w:rsidRDefault="008D6E9B" w:rsidP="000248F1">
      <w:pPr>
        <w:jc w:val="both"/>
        <w:rPr>
          <w:rFonts w:ascii="Arial" w:hAnsi="Arial" w:cs="Arial"/>
          <w:sz w:val="20"/>
          <w:szCs w:val="20"/>
          <w:lang w:val="bg-BG"/>
        </w:rPr>
      </w:pPr>
      <w:r w:rsidRPr="00703017">
        <w:rPr>
          <w:rFonts w:ascii="Arial" w:hAnsi="Arial" w:cs="Arial"/>
          <w:sz w:val="20"/>
          <w:szCs w:val="20"/>
          <w:lang w:val="bg-BG"/>
        </w:rPr>
        <w:t xml:space="preserve">Тъй като препоръките на SCOEL се отнасят до </w:t>
      </w:r>
      <w:r w:rsidRPr="00703017">
        <w:rPr>
          <w:rFonts w:ascii="Arial" w:hAnsi="Arial" w:cs="Arial"/>
          <w:sz w:val="20"/>
          <w:szCs w:val="20"/>
          <w:u w:val="single"/>
          <w:lang w:val="bg-BG"/>
        </w:rPr>
        <w:t>вдишвания прах</w:t>
      </w:r>
      <w:r w:rsidRPr="00703017">
        <w:rPr>
          <w:rFonts w:ascii="Arial" w:hAnsi="Arial" w:cs="Arial"/>
          <w:sz w:val="20"/>
          <w:szCs w:val="20"/>
          <w:lang w:val="bg-BG"/>
        </w:rPr>
        <w:t xml:space="preserve">, а оценките на експозиция в MEASE отразяват </w:t>
      </w:r>
      <w:r w:rsidRPr="00703017">
        <w:rPr>
          <w:rFonts w:ascii="Arial" w:hAnsi="Arial" w:cs="Arial"/>
          <w:sz w:val="20"/>
          <w:szCs w:val="20"/>
          <w:u w:val="single"/>
          <w:lang w:val="bg-BG"/>
        </w:rPr>
        <w:t>вдишаната</w:t>
      </w:r>
      <w:r w:rsidRPr="00703017">
        <w:rPr>
          <w:rFonts w:ascii="Arial" w:hAnsi="Arial" w:cs="Arial"/>
          <w:sz w:val="20"/>
          <w:szCs w:val="20"/>
          <w:lang w:val="bg-BG"/>
        </w:rPr>
        <w:t xml:space="preserve"> фракция, в следващите сценарии на експозиция се включва като задължителна още една граница на безопасност, когато за получаване на оценки на експозиция се използва MEASE.</w:t>
      </w:r>
    </w:p>
    <w:p w:rsidR="008D6E9B" w:rsidRPr="00703017" w:rsidRDefault="008D6E9B" w:rsidP="000248F1">
      <w:pPr>
        <w:spacing w:before="200"/>
        <w:jc w:val="both"/>
        <w:rPr>
          <w:rFonts w:ascii="Arial" w:hAnsi="Arial" w:cs="Arial"/>
          <w:b/>
          <w:bCs/>
          <w:i/>
          <w:iCs/>
          <w:sz w:val="20"/>
          <w:szCs w:val="20"/>
          <w:u w:val="single"/>
          <w:lang w:val="bg-BG"/>
        </w:rPr>
      </w:pPr>
      <w:r w:rsidRPr="00703017">
        <w:rPr>
          <w:rFonts w:ascii="Arial" w:hAnsi="Arial" w:cs="Arial"/>
          <w:b/>
          <w:bCs/>
          <w:i/>
          <w:iCs/>
          <w:sz w:val="20"/>
          <w:szCs w:val="20"/>
          <w:u w:val="single"/>
          <w:lang w:val="bg-BG"/>
        </w:rPr>
        <w:t>Методология, използвана за оценка на експозицията на потребителя</w:t>
      </w:r>
    </w:p>
    <w:p w:rsidR="008D6E9B" w:rsidRPr="00703017" w:rsidRDefault="008D6E9B" w:rsidP="000248F1">
      <w:pPr>
        <w:jc w:val="both"/>
        <w:rPr>
          <w:rFonts w:ascii="Arial" w:hAnsi="Arial" w:cs="Arial"/>
          <w:sz w:val="20"/>
          <w:szCs w:val="20"/>
          <w:lang w:val="bg-BG"/>
        </w:rPr>
      </w:pPr>
      <w:r w:rsidRPr="00703017">
        <w:rPr>
          <w:rFonts w:ascii="Arial" w:hAnsi="Arial" w:cs="Arial"/>
          <w:sz w:val="20"/>
          <w:szCs w:val="20"/>
          <w:lang w:val="bg-BG"/>
        </w:rPr>
        <w:t xml:space="preserve">По определение, един сценарий на експозиция (ES) би трябвало да описва при какви условия може да се борави безопасно с веществата, препарата или изделията. В случаите, при които няма измервателни данни, нито дори аналогична информация, експозицията се оценява с помощта на моделиращ инструмент. </w:t>
      </w:r>
    </w:p>
    <w:p w:rsidR="008D6E9B" w:rsidRPr="00703017" w:rsidRDefault="008D6E9B" w:rsidP="000248F1">
      <w:pPr>
        <w:jc w:val="both"/>
        <w:rPr>
          <w:rFonts w:ascii="Arial" w:hAnsi="Arial" w:cs="Arial"/>
          <w:sz w:val="20"/>
          <w:szCs w:val="20"/>
          <w:lang w:val="bg-BG"/>
        </w:rPr>
      </w:pPr>
      <w:r w:rsidRPr="00703017">
        <w:rPr>
          <w:rFonts w:ascii="Arial" w:hAnsi="Arial" w:cs="Arial"/>
          <w:sz w:val="20"/>
          <w:szCs w:val="20"/>
          <w:lang w:val="bg-BG"/>
        </w:rPr>
        <w:t xml:space="preserve">За потребителите, многократната доза DNEL за вдишване, както и еднократната максимална DNEL за вдишване, се базират на препоръките на научната комисия за границите на професионалната експозиция (SCOEL) и съответно са 1 mg/m³ и 4 mg/m³. </w:t>
      </w:r>
    </w:p>
    <w:p w:rsidR="008D6E9B" w:rsidRPr="00703017" w:rsidRDefault="008D6E9B" w:rsidP="000248F1">
      <w:pPr>
        <w:tabs>
          <w:tab w:val="left" w:pos="3544"/>
        </w:tabs>
        <w:jc w:val="both"/>
        <w:rPr>
          <w:rFonts w:ascii="Arial" w:hAnsi="Arial" w:cs="Arial"/>
          <w:sz w:val="20"/>
          <w:szCs w:val="20"/>
          <w:lang w:val="bg-BG"/>
        </w:rPr>
      </w:pPr>
      <w:r w:rsidRPr="00703017">
        <w:rPr>
          <w:rFonts w:ascii="Arial" w:hAnsi="Arial" w:cs="Arial"/>
          <w:sz w:val="20"/>
          <w:szCs w:val="20"/>
          <w:lang w:val="bg-BG"/>
        </w:rPr>
        <w:t>За експозиция при вдишване, данните за праховете са взети от van Hemmen (van Hemmen, 1992: Бази данни за управление на риска при експозиция на селскостопански пестициди. Rev Environ Contam Toxicol. 126: 1-85.), е използван за изчисляване на експозицията при вдишване. Експозицията при вдишване за потребителите се оценява на 15 μg/h</w:t>
      </w:r>
      <w:r>
        <w:rPr>
          <w:rFonts w:ascii="Arial" w:hAnsi="Arial" w:cs="Arial"/>
          <w:sz w:val="20"/>
          <w:szCs w:val="20"/>
          <w:lang w:val="bg-BG"/>
        </w:rPr>
        <w:t>r или 0</w:t>
      </w:r>
      <w:r w:rsidRPr="001B0F94">
        <w:rPr>
          <w:rFonts w:ascii="Arial" w:hAnsi="Arial" w:cs="Arial"/>
          <w:sz w:val="20"/>
          <w:szCs w:val="20"/>
          <w:lang w:val="bg-BG"/>
        </w:rPr>
        <w:t>,</w:t>
      </w:r>
      <w:r w:rsidRPr="00703017">
        <w:rPr>
          <w:rFonts w:ascii="Arial" w:hAnsi="Arial" w:cs="Arial"/>
          <w:sz w:val="20"/>
          <w:szCs w:val="20"/>
          <w:lang w:val="bg-BG"/>
        </w:rPr>
        <w:t>25 μg/min. При по-големи задачи експозицията при вдишване се очаква да бъде по-висока. Предлага се фактор 10, когато ко</w:t>
      </w:r>
      <w:r>
        <w:rPr>
          <w:rFonts w:ascii="Arial" w:hAnsi="Arial" w:cs="Arial"/>
          <w:sz w:val="20"/>
          <w:szCs w:val="20"/>
          <w:lang w:val="bg-BG"/>
        </w:rPr>
        <w:t>личеството вещество надхвърля 2</w:t>
      </w:r>
      <w:r w:rsidRPr="001B0F94">
        <w:rPr>
          <w:rFonts w:ascii="Arial" w:hAnsi="Arial" w:cs="Arial"/>
          <w:sz w:val="20"/>
          <w:szCs w:val="20"/>
          <w:lang w:val="bg-BG"/>
        </w:rPr>
        <w:t>,</w:t>
      </w:r>
      <w:r w:rsidRPr="00703017">
        <w:rPr>
          <w:rFonts w:ascii="Arial" w:hAnsi="Arial" w:cs="Arial"/>
          <w:sz w:val="20"/>
          <w:szCs w:val="20"/>
          <w:lang w:val="bg-BG"/>
        </w:rPr>
        <w:t>5 kg, в резултат на което се получава експозиция при вдишване от 150 μg/hr. За да се превърнат тези стойности в mg/m³, се приема че обемът на дишане</w:t>
      </w:r>
      <w:r>
        <w:rPr>
          <w:rFonts w:ascii="Arial" w:hAnsi="Arial" w:cs="Arial"/>
          <w:sz w:val="20"/>
          <w:szCs w:val="20"/>
          <w:lang w:val="bg-BG"/>
        </w:rPr>
        <w:t>то при леки трудови условия е 1</w:t>
      </w:r>
      <w:r w:rsidRPr="001B0F94">
        <w:rPr>
          <w:rFonts w:ascii="Arial" w:hAnsi="Arial" w:cs="Arial"/>
          <w:sz w:val="20"/>
          <w:szCs w:val="20"/>
          <w:lang w:val="bg-BG"/>
        </w:rPr>
        <w:t>,</w:t>
      </w:r>
      <w:r w:rsidRPr="00703017">
        <w:rPr>
          <w:rFonts w:ascii="Arial" w:hAnsi="Arial" w:cs="Arial"/>
          <w:sz w:val="20"/>
          <w:szCs w:val="20"/>
          <w:lang w:val="bg-BG"/>
        </w:rPr>
        <w:t xml:space="preserve">25 m³/hr (van Hemmen, 1992) предполагайки 12 µg/m³ за по-дребни и 120 µg/m³ за по-големи задачи. </w:t>
      </w:r>
    </w:p>
    <w:p w:rsidR="008D6E9B" w:rsidRPr="00703017" w:rsidRDefault="008D6E9B" w:rsidP="000248F1">
      <w:pPr>
        <w:jc w:val="both"/>
        <w:rPr>
          <w:rFonts w:ascii="Arial" w:hAnsi="Arial" w:cs="Arial"/>
          <w:sz w:val="20"/>
          <w:szCs w:val="20"/>
          <w:lang w:val="bg-BG"/>
        </w:rPr>
      </w:pPr>
      <w:r w:rsidRPr="00703017">
        <w:rPr>
          <w:rFonts w:ascii="Arial" w:hAnsi="Arial" w:cs="Arial"/>
          <w:sz w:val="20"/>
          <w:szCs w:val="20"/>
          <w:lang w:val="bg-BG"/>
        </w:rPr>
        <w:t>Когато препаратът или веществото са приложени като гранули или таблетки, се приема намаляване на експозицията на прах. За да се взема това предвид, ако няма налични данни за размера на частиците или триенето при гранулите, се използва моделът за формиране на прах, който предполага намаляване на запрашаването с 10%, според Becks and Falks (Ръководство за разрешаване на пестицид. Продукти за защита на растенията. Глава 4 Човешка токсикология; рисков оператор, работник и случайно присъстващ, версия 1.0., 2006).</w:t>
      </w:r>
    </w:p>
    <w:p w:rsidR="008D6E9B" w:rsidRPr="00703017" w:rsidRDefault="008D6E9B" w:rsidP="000248F1">
      <w:pPr>
        <w:spacing w:before="200"/>
        <w:jc w:val="both"/>
        <w:rPr>
          <w:rFonts w:ascii="Arial" w:hAnsi="Arial" w:cs="Arial"/>
          <w:b/>
          <w:bCs/>
          <w:i/>
          <w:iCs/>
          <w:sz w:val="20"/>
          <w:szCs w:val="20"/>
          <w:u w:val="single"/>
          <w:lang w:val="bg-BG"/>
        </w:rPr>
      </w:pPr>
      <w:r w:rsidRPr="00703017">
        <w:rPr>
          <w:rFonts w:ascii="Arial" w:hAnsi="Arial" w:cs="Arial"/>
          <w:sz w:val="20"/>
          <w:szCs w:val="20"/>
          <w:lang w:val="bg-BG"/>
        </w:rPr>
        <w:t xml:space="preserve">За определяне на дермалната експозиция и експозицията на очите се използва качествен подход, тъй като не може да бъде получено DNEL за този вид, поради дразнителните свойства </w:t>
      </w:r>
      <w:r w:rsidRPr="00703017">
        <w:rPr>
          <w:rFonts w:ascii="Arial" w:hAnsi="Arial" w:cs="Arial"/>
          <w:sz w:val="20"/>
          <w:szCs w:val="20"/>
          <w:lang w:val="bg-BG"/>
        </w:rPr>
        <w:lastRenderedPageBreak/>
        <w:t>на калциевия окис. Оралната експозиция не е оценявана, тъй като това не се приема за вероятен път за достъп и експозиция с оглед на разглежданите начини на упатреба.</w:t>
      </w:r>
    </w:p>
    <w:p w:rsidR="008D6E9B" w:rsidRPr="00703017" w:rsidRDefault="008D6E9B" w:rsidP="000248F1">
      <w:pPr>
        <w:keepNext/>
        <w:jc w:val="both"/>
        <w:rPr>
          <w:rFonts w:ascii="Arial" w:hAnsi="Arial" w:cs="Arial"/>
          <w:sz w:val="20"/>
          <w:szCs w:val="20"/>
          <w:lang w:val="bg-BG"/>
        </w:rPr>
      </w:pPr>
      <w:r w:rsidRPr="00703017">
        <w:rPr>
          <w:rFonts w:ascii="Arial" w:hAnsi="Arial" w:cs="Arial"/>
          <w:sz w:val="20"/>
          <w:szCs w:val="20"/>
          <w:lang w:val="bg-BG"/>
        </w:rPr>
        <w:t>Тъй като препоръките на SCOEL се отнасят до вдишвания прах, а оценките на експозиция в модела на van Hemmen отразяват вдишаната фракция, в следващите сценарии на експозиция се включва като задължителна още една граница на безопасност, т.е. оценките на експозиция са много консервативни.</w:t>
      </w:r>
    </w:p>
    <w:p w:rsidR="008D6E9B" w:rsidRPr="00703017" w:rsidRDefault="008D6E9B" w:rsidP="000248F1">
      <w:pPr>
        <w:keepNext/>
        <w:jc w:val="both"/>
        <w:rPr>
          <w:rFonts w:ascii="Arial" w:hAnsi="Arial" w:cs="Arial"/>
          <w:sz w:val="20"/>
          <w:szCs w:val="20"/>
          <w:lang w:val="bg-BG"/>
        </w:rPr>
      </w:pPr>
    </w:p>
    <w:p w:rsidR="008D6E9B" w:rsidRPr="00703017" w:rsidRDefault="008D6E9B" w:rsidP="000248F1">
      <w:pPr>
        <w:keepNext/>
        <w:jc w:val="both"/>
        <w:rPr>
          <w:rFonts w:ascii="Arial" w:hAnsi="Arial" w:cs="Arial"/>
          <w:sz w:val="20"/>
          <w:szCs w:val="20"/>
          <w:lang w:val="bg-BG"/>
        </w:rPr>
      </w:pPr>
      <w:r w:rsidRPr="00703017">
        <w:rPr>
          <w:rFonts w:ascii="Arial" w:hAnsi="Arial" w:cs="Arial"/>
          <w:sz w:val="20"/>
          <w:szCs w:val="20"/>
          <w:lang w:val="bg-BG"/>
        </w:rPr>
        <w:t xml:space="preserve">Оценката за експозиция </w:t>
      </w:r>
      <w:r w:rsidRPr="0070774F">
        <w:rPr>
          <w:rFonts w:ascii="Arial" w:hAnsi="Arial" w:cs="Arial"/>
          <w:sz w:val="20"/>
          <w:szCs w:val="20"/>
          <w:lang w:val="bg-BG"/>
        </w:rPr>
        <w:t>на CaO при</w:t>
      </w:r>
      <w:r w:rsidRPr="00703017">
        <w:rPr>
          <w:rFonts w:ascii="Arial" w:hAnsi="Arial" w:cs="Arial"/>
          <w:sz w:val="20"/>
          <w:szCs w:val="20"/>
          <w:lang w:val="bg-BG"/>
        </w:rPr>
        <w:t xml:space="preserve"> професионален, промишлен или потребителски начин на употреба се извършва и организира въз основата на няколко сценария. В Таблица 1 са представени най-общо тези сценарии и как те покриват жизнения цикъл на веществото.</w:t>
      </w:r>
    </w:p>
    <w:p w:rsidR="008D6E9B" w:rsidRPr="00703017" w:rsidRDefault="008D6E9B" w:rsidP="006A0CE4">
      <w:pPr>
        <w:rPr>
          <w:lang w:val="bg-BG"/>
        </w:rPr>
      </w:pPr>
    </w:p>
    <w:p w:rsidR="008D6E9B" w:rsidRPr="00703017" w:rsidRDefault="008D6E9B" w:rsidP="006A0CE4">
      <w:pPr>
        <w:keepNext/>
        <w:spacing w:before="120" w:after="60" w:line="240" w:lineRule="auto"/>
        <w:rPr>
          <w:rFonts w:ascii="Arial" w:hAnsi="Arial" w:cs="Arial"/>
          <w:b/>
          <w:bCs/>
          <w:sz w:val="20"/>
          <w:szCs w:val="20"/>
          <w:lang w:val="bg-BG"/>
        </w:rPr>
        <w:sectPr w:rsidR="008D6E9B" w:rsidRPr="00703017" w:rsidSect="00270F0D">
          <w:headerReference w:type="even" r:id="rId9"/>
          <w:headerReference w:type="default" r:id="rId10"/>
          <w:footerReference w:type="even" r:id="rId11"/>
          <w:footerReference w:type="default" r:id="rId12"/>
          <w:headerReference w:type="first" r:id="rId13"/>
          <w:footerReference w:type="first" r:id="rId14"/>
          <w:pgSz w:w="11906" w:h="16838"/>
          <w:pgMar w:top="1417" w:right="1416" w:bottom="1134" w:left="1417" w:header="708" w:footer="708" w:gutter="0"/>
          <w:cols w:space="708"/>
          <w:docGrid w:linePitch="360"/>
        </w:sectPr>
      </w:pPr>
      <w:bookmarkStart w:id="5" w:name="_Toc202255663"/>
    </w:p>
    <w:p w:rsidR="008D6E9B" w:rsidRPr="00703017" w:rsidRDefault="008D6E9B" w:rsidP="006A0CE4">
      <w:pPr>
        <w:keepNext/>
        <w:spacing w:before="120" w:after="60" w:line="240" w:lineRule="auto"/>
        <w:rPr>
          <w:rFonts w:ascii="Arial" w:hAnsi="Arial" w:cs="Arial"/>
          <w:b/>
          <w:bCs/>
          <w:sz w:val="20"/>
          <w:szCs w:val="20"/>
          <w:lang w:val="bg-BG"/>
        </w:rPr>
      </w:pPr>
      <w:r w:rsidRPr="00703017">
        <w:rPr>
          <w:rFonts w:ascii="Arial" w:hAnsi="Arial" w:cs="Arial"/>
          <w:b/>
          <w:bCs/>
          <w:sz w:val="20"/>
          <w:szCs w:val="20"/>
          <w:lang w:val="bg-BG"/>
        </w:rPr>
        <w:lastRenderedPageBreak/>
        <w:t xml:space="preserve">Таблица </w:t>
      </w:r>
      <w:r w:rsidRPr="00703017">
        <w:rPr>
          <w:rFonts w:ascii="Arial" w:hAnsi="Arial" w:cs="Arial"/>
          <w:b/>
          <w:bCs/>
          <w:sz w:val="20"/>
          <w:szCs w:val="20"/>
          <w:lang w:val="bg-BG"/>
        </w:rPr>
        <w:fldChar w:fldCharType="begin"/>
      </w:r>
      <w:r w:rsidRPr="00703017">
        <w:rPr>
          <w:rFonts w:ascii="Arial" w:hAnsi="Arial" w:cs="Arial"/>
          <w:b/>
          <w:bCs/>
          <w:sz w:val="20"/>
          <w:szCs w:val="20"/>
          <w:lang w:val="bg-BG"/>
        </w:rPr>
        <w:instrText xml:space="preserve"> SEQ Table \* ARABIC </w:instrText>
      </w:r>
      <w:r w:rsidRPr="00703017">
        <w:rPr>
          <w:rFonts w:ascii="Arial" w:hAnsi="Arial" w:cs="Arial"/>
          <w:b/>
          <w:bCs/>
          <w:sz w:val="20"/>
          <w:szCs w:val="20"/>
          <w:lang w:val="bg-BG"/>
        </w:rPr>
        <w:fldChar w:fldCharType="separate"/>
      </w:r>
      <w:r w:rsidR="00270F0D">
        <w:rPr>
          <w:rFonts w:ascii="Arial" w:hAnsi="Arial" w:cs="Arial"/>
          <w:b/>
          <w:bCs/>
          <w:noProof/>
          <w:sz w:val="20"/>
          <w:szCs w:val="20"/>
          <w:lang w:val="bg-BG"/>
        </w:rPr>
        <w:t>1</w:t>
      </w:r>
      <w:r w:rsidRPr="00703017">
        <w:rPr>
          <w:rFonts w:ascii="Arial" w:hAnsi="Arial" w:cs="Arial"/>
          <w:b/>
          <w:bCs/>
          <w:sz w:val="20"/>
          <w:szCs w:val="20"/>
          <w:lang w:val="bg-BG"/>
        </w:rPr>
        <w:fldChar w:fldCharType="end"/>
      </w:r>
      <w:r w:rsidRPr="00703017">
        <w:rPr>
          <w:rFonts w:ascii="Arial" w:hAnsi="Arial" w:cs="Arial"/>
          <w:b/>
          <w:bCs/>
          <w:sz w:val="20"/>
          <w:szCs w:val="20"/>
          <w:lang w:val="bg-BG"/>
        </w:rPr>
        <w:t xml:space="preserve">: </w:t>
      </w:r>
      <w:r w:rsidRPr="00703017">
        <w:rPr>
          <w:rFonts w:ascii="Arial" w:hAnsi="Arial" w:cs="Arial"/>
          <w:sz w:val="20"/>
          <w:szCs w:val="20"/>
          <w:lang w:val="bg-BG"/>
        </w:rPr>
        <w:t>Общо представяне на сценариите на експозиция и покриване на жизнения цикъл на веществото</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59"/>
        <w:gridCol w:w="1545"/>
        <w:gridCol w:w="423"/>
        <w:gridCol w:w="563"/>
        <w:gridCol w:w="563"/>
        <w:gridCol w:w="567"/>
        <w:gridCol w:w="1260"/>
        <w:gridCol w:w="703"/>
        <w:gridCol w:w="1967"/>
        <w:gridCol w:w="1952"/>
        <w:gridCol w:w="1419"/>
        <w:gridCol w:w="1264"/>
        <w:gridCol w:w="1292"/>
      </w:tblGrid>
      <w:tr w:rsidR="008D6E9B" w:rsidRPr="0070774F">
        <w:trPr>
          <w:trHeight w:val="255"/>
          <w:tblHeader/>
          <w:jc w:val="center"/>
        </w:trPr>
        <w:tc>
          <w:tcPr>
            <w:tcW w:w="766" w:type="dxa"/>
            <w:vMerge w:val="restart"/>
            <w:shd w:val="clear" w:color="auto" w:fill="D9D9D9"/>
            <w:noWrap/>
            <w:tcMar>
              <w:left w:w="57" w:type="dxa"/>
              <w:right w:w="57" w:type="dxa"/>
            </w:tcMar>
            <w:vAlign w:val="center"/>
          </w:tcPr>
          <w:p w:rsidR="008D6E9B" w:rsidRPr="00703017" w:rsidRDefault="008D6E9B" w:rsidP="009254E1">
            <w:pPr>
              <w:pStyle w:val="Tabletext"/>
              <w:rPr>
                <w:rFonts w:ascii="Arial Narrow" w:hAnsi="Arial Narrow" w:cs="Arial Narrow"/>
                <w:b/>
                <w:bCs/>
                <w:lang w:val="bg-BG"/>
              </w:rPr>
            </w:pPr>
            <w:r w:rsidRPr="00703017">
              <w:rPr>
                <w:rFonts w:ascii="Arial Narrow" w:hAnsi="Arial Narrow" w:cs="Arial Narrow"/>
                <w:b/>
                <w:bCs/>
                <w:lang w:val="bg-BG"/>
              </w:rPr>
              <w:t>Номер на ES</w:t>
            </w:r>
          </w:p>
        </w:tc>
        <w:tc>
          <w:tcPr>
            <w:tcW w:w="1559" w:type="dxa"/>
            <w:vMerge w:val="restart"/>
            <w:shd w:val="clear" w:color="auto" w:fill="D9D9D9"/>
            <w:tcMar>
              <w:left w:w="57" w:type="dxa"/>
              <w:right w:w="57" w:type="dxa"/>
            </w:tcMar>
            <w:vAlign w:val="center"/>
          </w:tcPr>
          <w:p w:rsidR="008D6E9B" w:rsidRPr="00703017" w:rsidRDefault="008D6E9B" w:rsidP="009254E1">
            <w:pPr>
              <w:pStyle w:val="Tabletext"/>
              <w:rPr>
                <w:rFonts w:ascii="Arial Narrow" w:hAnsi="Arial Narrow" w:cs="Arial Narrow"/>
                <w:b/>
                <w:bCs/>
                <w:lang w:val="bg-BG"/>
              </w:rPr>
            </w:pPr>
            <w:r w:rsidRPr="00703017">
              <w:rPr>
                <w:rFonts w:ascii="Arial Narrow" w:hAnsi="Arial Narrow" w:cs="Arial Narrow"/>
                <w:b/>
                <w:bCs/>
                <w:lang w:val="bg-BG"/>
              </w:rPr>
              <w:t>Заглавие на сценарий на експозиция</w:t>
            </w:r>
          </w:p>
        </w:tc>
        <w:tc>
          <w:tcPr>
            <w:tcW w:w="426" w:type="dxa"/>
            <w:vMerge w:val="restart"/>
            <w:shd w:val="clear" w:color="auto" w:fill="D9D9D9"/>
            <w:tcMar>
              <w:left w:w="57" w:type="dxa"/>
              <w:right w:w="57" w:type="dxa"/>
            </w:tcMar>
            <w:textDirection w:val="btLr"/>
            <w:vAlign w:val="center"/>
          </w:tcPr>
          <w:p w:rsidR="008D6E9B" w:rsidRPr="00703017" w:rsidRDefault="008D6E9B" w:rsidP="009254E1">
            <w:pPr>
              <w:ind w:left="113" w:right="113"/>
              <w:rPr>
                <w:rFonts w:ascii="Arial Narrow" w:hAnsi="Arial Narrow" w:cs="Arial Narrow"/>
                <w:b/>
                <w:bCs/>
                <w:sz w:val="20"/>
                <w:szCs w:val="20"/>
                <w:lang w:val="bg-BG" w:eastAsia="en-GB"/>
              </w:rPr>
            </w:pPr>
            <w:r w:rsidRPr="00703017">
              <w:rPr>
                <w:rFonts w:ascii="Arial Narrow" w:hAnsi="Arial Narrow" w:cs="Arial Narrow"/>
                <w:b/>
                <w:bCs/>
                <w:sz w:val="20"/>
                <w:szCs w:val="20"/>
                <w:lang w:val="bg-BG"/>
              </w:rPr>
              <w:t>Производство</w:t>
            </w:r>
          </w:p>
        </w:tc>
        <w:tc>
          <w:tcPr>
            <w:tcW w:w="1705" w:type="dxa"/>
            <w:gridSpan w:val="3"/>
            <w:shd w:val="clear" w:color="auto" w:fill="D9D9D9"/>
            <w:tcMar>
              <w:left w:w="57" w:type="dxa"/>
              <w:right w:w="57" w:type="dxa"/>
            </w:tcMar>
            <w:vAlign w:val="center"/>
          </w:tcPr>
          <w:p w:rsidR="008D6E9B" w:rsidRPr="00703017" w:rsidRDefault="008D6E9B" w:rsidP="009254E1">
            <w:pPr>
              <w:pStyle w:val="Tabletext"/>
              <w:rPr>
                <w:rFonts w:ascii="Arial Narrow" w:hAnsi="Arial Narrow" w:cs="Arial Narrow"/>
                <w:b/>
                <w:bCs/>
                <w:lang w:val="bg-BG"/>
              </w:rPr>
            </w:pPr>
            <w:r w:rsidRPr="00703017">
              <w:rPr>
                <w:rFonts w:ascii="Arial Narrow" w:hAnsi="Arial Narrow" w:cs="Arial Narrow"/>
                <w:b/>
                <w:bCs/>
                <w:lang w:val="bg-BG"/>
              </w:rPr>
              <w:t>Идентифициран начин на употреба</w:t>
            </w:r>
          </w:p>
        </w:tc>
        <w:tc>
          <w:tcPr>
            <w:tcW w:w="1271" w:type="dxa"/>
            <w:shd w:val="clear" w:color="auto" w:fill="D9D9D9"/>
            <w:tcMar>
              <w:left w:w="57" w:type="dxa"/>
              <w:right w:w="57" w:type="dxa"/>
            </w:tcMar>
            <w:vAlign w:val="center"/>
          </w:tcPr>
          <w:p w:rsidR="008D6E9B" w:rsidRPr="00703017" w:rsidRDefault="008D6E9B" w:rsidP="009254E1">
            <w:pPr>
              <w:pStyle w:val="Tabletext"/>
              <w:rPr>
                <w:rFonts w:ascii="Arial Narrow" w:hAnsi="Arial Narrow" w:cs="Arial Narrow"/>
                <w:b/>
                <w:bCs/>
                <w:lang w:val="bg-BG"/>
              </w:rPr>
            </w:pPr>
            <w:r w:rsidRPr="00703017">
              <w:rPr>
                <w:rFonts w:ascii="Arial Narrow" w:hAnsi="Arial Narrow" w:cs="Arial Narrow"/>
                <w:b/>
                <w:bCs/>
                <w:lang w:val="bg-BG"/>
              </w:rPr>
              <w:t>Резултативен етап от жизнения цикъл</w:t>
            </w:r>
          </w:p>
        </w:tc>
        <w:tc>
          <w:tcPr>
            <w:tcW w:w="709" w:type="dxa"/>
            <w:vMerge w:val="restart"/>
            <w:shd w:val="clear" w:color="auto" w:fill="D9D9D9"/>
            <w:tcMar>
              <w:left w:w="57" w:type="dxa"/>
              <w:right w:w="57" w:type="dxa"/>
            </w:tcMar>
            <w:textDirection w:val="btLr"/>
            <w:vAlign w:val="center"/>
          </w:tcPr>
          <w:p w:rsidR="008D6E9B" w:rsidRPr="00703017" w:rsidRDefault="008D6E9B" w:rsidP="009254E1">
            <w:pPr>
              <w:pStyle w:val="Tabletext"/>
              <w:ind w:left="113" w:right="113"/>
              <w:rPr>
                <w:rFonts w:ascii="Arial Narrow" w:hAnsi="Arial Narrow" w:cs="Arial Narrow"/>
                <w:b/>
                <w:bCs/>
                <w:lang w:val="bg-BG"/>
              </w:rPr>
            </w:pPr>
            <w:r w:rsidRPr="00703017">
              <w:rPr>
                <w:rFonts w:ascii="Arial Narrow" w:hAnsi="Arial Narrow" w:cs="Arial Narrow"/>
                <w:b/>
                <w:bCs/>
                <w:lang w:val="bg-BG"/>
              </w:rPr>
              <w:t>Свързано с Идентифицирания начин на употреба</w:t>
            </w:r>
          </w:p>
        </w:tc>
        <w:tc>
          <w:tcPr>
            <w:tcW w:w="1985" w:type="dxa"/>
            <w:vMerge w:val="restart"/>
            <w:shd w:val="clear" w:color="auto" w:fill="D9D9D9"/>
            <w:tcMar>
              <w:left w:w="57" w:type="dxa"/>
              <w:right w:w="57" w:type="dxa"/>
            </w:tcMar>
            <w:vAlign w:val="center"/>
          </w:tcPr>
          <w:p w:rsidR="008D6E9B" w:rsidRPr="00703017" w:rsidRDefault="008D6E9B" w:rsidP="009254E1">
            <w:pPr>
              <w:pStyle w:val="Tabletext"/>
              <w:rPr>
                <w:rFonts w:ascii="Arial Narrow" w:hAnsi="Arial Narrow" w:cs="Arial Narrow"/>
                <w:b/>
                <w:bCs/>
                <w:lang w:val="bg-BG" w:eastAsia="en-GB"/>
              </w:rPr>
            </w:pPr>
            <w:r w:rsidRPr="00703017">
              <w:rPr>
                <w:rFonts w:ascii="Arial Narrow" w:hAnsi="Arial Narrow" w:cs="Arial Narrow"/>
                <w:b/>
                <w:bCs/>
                <w:lang w:val="bg-BG"/>
              </w:rPr>
              <w:t>Категория на сектор на употреба (SU)</w:t>
            </w:r>
          </w:p>
        </w:tc>
        <w:tc>
          <w:tcPr>
            <w:tcW w:w="1970" w:type="dxa"/>
            <w:vMerge w:val="restart"/>
            <w:shd w:val="clear" w:color="auto" w:fill="D9D9D9"/>
            <w:noWrap/>
            <w:tcMar>
              <w:left w:w="57" w:type="dxa"/>
              <w:right w:w="57" w:type="dxa"/>
            </w:tcMar>
            <w:vAlign w:val="center"/>
          </w:tcPr>
          <w:p w:rsidR="008D6E9B" w:rsidRPr="00703017" w:rsidRDefault="008D6E9B" w:rsidP="009254E1">
            <w:pPr>
              <w:pStyle w:val="Tabletext"/>
              <w:rPr>
                <w:rFonts w:ascii="Arial Narrow" w:hAnsi="Arial Narrow" w:cs="Arial Narrow"/>
                <w:b/>
                <w:bCs/>
                <w:lang w:val="bg-BG"/>
              </w:rPr>
            </w:pPr>
            <w:r w:rsidRPr="00703017">
              <w:rPr>
                <w:rFonts w:ascii="Arial Narrow" w:hAnsi="Arial Narrow" w:cs="Arial Narrow"/>
                <w:b/>
                <w:bCs/>
                <w:lang w:val="bg-BG"/>
              </w:rPr>
              <w:t>Категория на химическия продукт (PC)</w:t>
            </w:r>
          </w:p>
        </w:tc>
        <w:tc>
          <w:tcPr>
            <w:tcW w:w="1432" w:type="dxa"/>
            <w:vMerge w:val="restart"/>
            <w:shd w:val="clear" w:color="auto" w:fill="D9D9D9"/>
            <w:noWrap/>
            <w:tcMar>
              <w:left w:w="57" w:type="dxa"/>
              <w:right w:w="57" w:type="dxa"/>
            </w:tcMar>
            <w:vAlign w:val="center"/>
          </w:tcPr>
          <w:p w:rsidR="008D6E9B" w:rsidRPr="00703017" w:rsidRDefault="008D6E9B" w:rsidP="009254E1">
            <w:pPr>
              <w:pStyle w:val="Tabletext"/>
              <w:rPr>
                <w:rFonts w:ascii="Arial Narrow" w:hAnsi="Arial Narrow" w:cs="Arial Narrow"/>
                <w:b/>
                <w:bCs/>
                <w:lang w:val="bg-BG"/>
              </w:rPr>
            </w:pPr>
            <w:r w:rsidRPr="00703017">
              <w:rPr>
                <w:rFonts w:ascii="Arial Narrow" w:hAnsi="Arial Narrow" w:cs="Arial Narrow"/>
                <w:b/>
                <w:bCs/>
                <w:lang w:val="bg-BG"/>
              </w:rPr>
              <w:t>Категория на процеса (PROC)</w:t>
            </w:r>
          </w:p>
        </w:tc>
        <w:tc>
          <w:tcPr>
            <w:tcW w:w="1275" w:type="dxa"/>
            <w:vMerge w:val="restart"/>
            <w:shd w:val="clear" w:color="auto" w:fill="D9D9D9"/>
            <w:noWrap/>
            <w:tcMar>
              <w:left w:w="57" w:type="dxa"/>
              <w:right w:w="57" w:type="dxa"/>
            </w:tcMar>
            <w:vAlign w:val="center"/>
          </w:tcPr>
          <w:p w:rsidR="008D6E9B" w:rsidRPr="00703017" w:rsidRDefault="008D6E9B" w:rsidP="009254E1">
            <w:pPr>
              <w:pStyle w:val="Tabletext"/>
              <w:rPr>
                <w:rFonts w:ascii="Arial Narrow" w:hAnsi="Arial Narrow" w:cs="Arial Narrow"/>
                <w:b/>
                <w:bCs/>
                <w:lang w:val="bg-BG"/>
              </w:rPr>
            </w:pPr>
            <w:r w:rsidRPr="00703017">
              <w:rPr>
                <w:rFonts w:ascii="Arial Narrow" w:hAnsi="Arial Narrow" w:cs="Arial Narrow"/>
                <w:b/>
                <w:bCs/>
                <w:lang w:val="bg-BG"/>
              </w:rPr>
              <w:t>Категория на изделието (AC)</w:t>
            </w:r>
          </w:p>
        </w:tc>
        <w:tc>
          <w:tcPr>
            <w:tcW w:w="1303" w:type="dxa"/>
            <w:vMerge w:val="restart"/>
            <w:shd w:val="clear" w:color="auto" w:fill="D9D9D9"/>
            <w:tcMar>
              <w:left w:w="57" w:type="dxa"/>
              <w:right w:w="57" w:type="dxa"/>
            </w:tcMar>
            <w:vAlign w:val="center"/>
          </w:tcPr>
          <w:p w:rsidR="008D6E9B" w:rsidRPr="00703017" w:rsidRDefault="008D6E9B" w:rsidP="009254E1">
            <w:pPr>
              <w:pStyle w:val="Tabletext"/>
              <w:rPr>
                <w:rFonts w:ascii="Arial Narrow" w:hAnsi="Arial Narrow" w:cs="Arial Narrow"/>
                <w:b/>
                <w:bCs/>
                <w:lang w:val="bg-BG"/>
              </w:rPr>
            </w:pPr>
            <w:r w:rsidRPr="00703017">
              <w:rPr>
                <w:rFonts w:ascii="Arial Narrow" w:hAnsi="Arial Narrow" w:cs="Arial Narrow"/>
                <w:b/>
                <w:bCs/>
                <w:lang w:val="bg-BG"/>
              </w:rPr>
              <w:t xml:space="preserve">Категория за отделяне </w:t>
            </w:r>
            <w:r w:rsidRPr="00186201">
              <w:rPr>
                <w:rFonts w:ascii="Arial Narrow" w:hAnsi="Arial Narrow" w:cs="Arial Narrow"/>
                <w:b/>
                <w:bCs/>
                <w:lang w:val="bg-BG"/>
              </w:rPr>
              <w:br/>
            </w:r>
            <w:r w:rsidRPr="00703017">
              <w:rPr>
                <w:rFonts w:ascii="Arial Narrow" w:hAnsi="Arial Narrow" w:cs="Arial Narrow"/>
                <w:b/>
                <w:bCs/>
                <w:lang w:val="bg-BG"/>
              </w:rPr>
              <w:t>в околната среда (ERC)</w:t>
            </w:r>
          </w:p>
        </w:tc>
      </w:tr>
      <w:tr w:rsidR="008D6E9B" w:rsidRPr="0070774F">
        <w:trPr>
          <w:cantSplit/>
          <w:trHeight w:val="1959"/>
          <w:tblHeader/>
          <w:jc w:val="center"/>
        </w:trPr>
        <w:tc>
          <w:tcPr>
            <w:tcW w:w="766" w:type="dxa"/>
            <w:vMerge/>
            <w:shd w:val="clear" w:color="auto" w:fill="D9D9D9"/>
            <w:noWrap/>
            <w:tcMar>
              <w:left w:w="57" w:type="dxa"/>
              <w:right w:w="57" w:type="dxa"/>
            </w:tcMar>
            <w:vAlign w:val="bottom"/>
          </w:tcPr>
          <w:p w:rsidR="008D6E9B" w:rsidRPr="00703017" w:rsidRDefault="008D6E9B" w:rsidP="009254E1">
            <w:pPr>
              <w:rPr>
                <w:rFonts w:ascii="Arial Narrow" w:hAnsi="Arial Narrow" w:cs="Arial Narrow"/>
                <w:b/>
                <w:bCs/>
                <w:sz w:val="20"/>
                <w:szCs w:val="20"/>
                <w:lang w:val="bg-BG" w:eastAsia="en-GB"/>
              </w:rPr>
            </w:pPr>
          </w:p>
        </w:tc>
        <w:tc>
          <w:tcPr>
            <w:tcW w:w="1559" w:type="dxa"/>
            <w:vMerge/>
            <w:shd w:val="clear" w:color="auto" w:fill="D9D9D9"/>
            <w:tcMar>
              <w:left w:w="57" w:type="dxa"/>
              <w:right w:w="57" w:type="dxa"/>
            </w:tcMar>
            <w:textDirection w:val="btLr"/>
          </w:tcPr>
          <w:p w:rsidR="008D6E9B" w:rsidRPr="00703017" w:rsidRDefault="008D6E9B" w:rsidP="009254E1">
            <w:pPr>
              <w:ind w:left="113" w:right="113"/>
              <w:rPr>
                <w:rFonts w:ascii="Arial Narrow" w:hAnsi="Arial Narrow" w:cs="Arial Narrow"/>
                <w:b/>
                <w:bCs/>
                <w:sz w:val="20"/>
                <w:szCs w:val="20"/>
                <w:lang w:val="bg-BG" w:eastAsia="en-GB"/>
              </w:rPr>
            </w:pPr>
          </w:p>
        </w:tc>
        <w:tc>
          <w:tcPr>
            <w:tcW w:w="426" w:type="dxa"/>
            <w:vMerge/>
            <w:shd w:val="clear" w:color="auto" w:fill="D9D9D9"/>
            <w:tcMar>
              <w:left w:w="57" w:type="dxa"/>
              <w:right w:w="57" w:type="dxa"/>
            </w:tcMar>
            <w:textDirection w:val="btLr"/>
          </w:tcPr>
          <w:p w:rsidR="008D6E9B" w:rsidRPr="00703017" w:rsidRDefault="008D6E9B" w:rsidP="009254E1">
            <w:pPr>
              <w:ind w:left="113" w:right="113"/>
              <w:rPr>
                <w:rFonts w:ascii="Arial Narrow" w:hAnsi="Arial Narrow" w:cs="Arial Narrow"/>
                <w:b/>
                <w:bCs/>
                <w:sz w:val="20"/>
                <w:szCs w:val="20"/>
                <w:lang w:val="bg-BG" w:eastAsia="en-GB"/>
              </w:rPr>
            </w:pPr>
          </w:p>
        </w:tc>
        <w:tc>
          <w:tcPr>
            <w:tcW w:w="567" w:type="dxa"/>
            <w:shd w:val="clear" w:color="auto" w:fill="D9D9D9"/>
            <w:tcMar>
              <w:left w:w="57" w:type="dxa"/>
              <w:right w:w="57" w:type="dxa"/>
            </w:tcMar>
            <w:textDirection w:val="btLr"/>
          </w:tcPr>
          <w:p w:rsidR="008D6E9B" w:rsidRPr="00703017" w:rsidRDefault="008D6E9B" w:rsidP="009254E1">
            <w:pPr>
              <w:ind w:left="113" w:right="113"/>
              <w:rPr>
                <w:rFonts w:ascii="Arial Narrow" w:hAnsi="Arial Narrow" w:cs="Arial Narrow"/>
                <w:b/>
                <w:bCs/>
                <w:sz w:val="20"/>
                <w:szCs w:val="20"/>
                <w:lang w:val="bg-BG" w:eastAsia="en-GB"/>
              </w:rPr>
            </w:pPr>
            <w:r w:rsidRPr="00703017">
              <w:rPr>
                <w:rFonts w:ascii="Arial Narrow" w:hAnsi="Arial Narrow" w:cs="Arial Narrow"/>
                <w:b/>
                <w:bCs/>
                <w:sz w:val="20"/>
                <w:szCs w:val="20"/>
                <w:lang w:val="bg-BG"/>
              </w:rPr>
              <w:t>Формула за приготвяне</w:t>
            </w:r>
          </w:p>
        </w:tc>
        <w:tc>
          <w:tcPr>
            <w:tcW w:w="567" w:type="dxa"/>
            <w:shd w:val="clear" w:color="auto" w:fill="D9D9D9"/>
            <w:tcMar>
              <w:left w:w="57" w:type="dxa"/>
              <w:right w:w="57" w:type="dxa"/>
            </w:tcMar>
            <w:textDirection w:val="btLr"/>
          </w:tcPr>
          <w:p w:rsidR="008D6E9B" w:rsidRPr="00703017" w:rsidRDefault="008D6E9B" w:rsidP="009254E1">
            <w:pPr>
              <w:ind w:left="113" w:right="113"/>
              <w:rPr>
                <w:rFonts w:ascii="Arial Narrow" w:hAnsi="Arial Narrow" w:cs="Arial Narrow"/>
                <w:b/>
                <w:bCs/>
                <w:sz w:val="20"/>
                <w:szCs w:val="20"/>
                <w:lang w:val="bg-BG" w:eastAsia="en-GB"/>
              </w:rPr>
            </w:pPr>
            <w:r w:rsidRPr="00703017">
              <w:rPr>
                <w:rFonts w:ascii="Arial Narrow" w:hAnsi="Arial Narrow" w:cs="Arial Narrow"/>
                <w:b/>
                <w:bCs/>
                <w:sz w:val="20"/>
                <w:szCs w:val="20"/>
                <w:lang w:val="bg-BG"/>
              </w:rPr>
              <w:t>Начин на крайна употреба</w:t>
            </w:r>
          </w:p>
        </w:tc>
        <w:tc>
          <w:tcPr>
            <w:tcW w:w="571" w:type="dxa"/>
            <w:shd w:val="clear" w:color="auto" w:fill="D9D9D9"/>
            <w:tcMar>
              <w:left w:w="57" w:type="dxa"/>
              <w:right w:w="57" w:type="dxa"/>
            </w:tcMar>
            <w:textDirection w:val="btLr"/>
          </w:tcPr>
          <w:p w:rsidR="008D6E9B" w:rsidRPr="00703017" w:rsidRDefault="008D6E9B" w:rsidP="009254E1">
            <w:pPr>
              <w:ind w:left="113" w:right="113"/>
              <w:rPr>
                <w:rFonts w:ascii="Arial Narrow" w:hAnsi="Arial Narrow" w:cs="Arial Narrow"/>
                <w:b/>
                <w:bCs/>
                <w:sz w:val="20"/>
                <w:szCs w:val="20"/>
                <w:lang w:val="bg-BG" w:eastAsia="en-GB"/>
              </w:rPr>
            </w:pPr>
            <w:r w:rsidRPr="00703017">
              <w:rPr>
                <w:rFonts w:ascii="Arial Narrow" w:hAnsi="Arial Narrow" w:cs="Arial Narrow"/>
                <w:b/>
                <w:bCs/>
                <w:sz w:val="20"/>
                <w:szCs w:val="20"/>
                <w:lang w:val="bg-BG"/>
              </w:rPr>
              <w:t>Начин на употреба от потребителя</w:t>
            </w:r>
          </w:p>
        </w:tc>
        <w:tc>
          <w:tcPr>
            <w:tcW w:w="1271" w:type="dxa"/>
            <w:shd w:val="clear" w:color="auto" w:fill="D9D9D9"/>
            <w:tcMar>
              <w:left w:w="57" w:type="dxa"/>
              <w:right w:w="57" w:type="dxa"/>
            </w:tcMar>
            <w:textDirection w:val="btLr"/>
          </w:tcPr>
          <w:p w:rsidR="008D6E9B" w:rsidRPr="00703017" w:rsidRDefault="008D6E9B" w:rsidP="009254E1">
            <w:pPr>
              <w:ind w:left="113" w:right="113"/>
              <w:rPr>
                <w:rFonts w:ascii="Arial Narrow" w:hAnsi="Arial Narrow" w:cs="Arial Narrow"/>
                <w:b/>
                <w:bCs/>
                <w:sz w:val="20"/>
                <w:szCs w:val="20"/>
                <w:lang w:val="bg-BG" w:eastAsia="en-GB"/>
              </w:rPr>
            </w:pPr>
            <w:r w:rsidRPr="00703017">
              <w:rPr>
                <w:rFonts w:ascii="Arial Narrow" w:hAnsi="Arial Narrow" w:cs="Arial Narrow"/>
                <w:b/>
                <w:bCs/>
                <w:sz w:val="20"/>
                <w:szCs w:val="20"/>
                <w:lang w:val="bg-BG"/>
              </w:rPr>
              <w:t>Продължителност на живота на услу</w:t>
            </w:r>
            <w:r w:rsidRPr="00186201">
              <w:rPr>
                <w:rFonts w:ascii="Arial Narrow" w:hAnsi="Arial Narrow" w:cs="Arial Narrow"/>
                <w:b/>
                <w:bCs/>
                <w:sz w:val="20"/>
                <w:szCs w:val="20"/>
                <w:lang w:val="bg-BG"/>
              </w:rPr>
              <w:t>-</w:t>
            </w:r>
            <w:r w:rsidRPr="00703017">
              <w:rPr>
                <w:rFonts w:ascii="Arial Narrow" w:hAnsi="Arial Narrow" w:cs="Arial Narrow"/>
                <w:b/>
                <w:bCs/>
                <w:sz w:val="20"/>
                <w:szCs w:val="20"/>
                <w:lang w:val="bg-BG"/>
              </w:rPr>
              <w:t>гата (за изделия)</w:t>
            </w:r>
          </w:p>
        </w:tc>
        <w:tc>
          <w:tcPr>
            <w:tcW w:w="709" w:type="dxa"/>
            <w:vMerge/>
            <w:shd w:val="clear" w:color="auto" w:fill="D9D9D9"/>
            <w:tcMar>
              <w:left w:w="57" w:type="dxa"/>
              <w:right w:w="57" w:type="dxa"/>
            </w:tcMar>
          </w:tcPr>
          <w:p w:rsidR="008D6E9B" w:rsidRPr="00703017" w:rsidRDefault="008D6E9B" w:rsidP="009254E1">
            <w:pPr>
              <w:rPr>
                <w:rFonts w:ascii="Arial Narrow" w:hAnsi="Arial Narrow" w:cs="Arial Narrow"/>
                <w:b/>
                <w:bCs/>
                <w:sz w:val="20"/>
                <w:szCs w:val="20"/>
                <w:lang w:val="bg-BG" w:eastAsia="en-GB"/>
              </w:rPr>
            </w:pPr>
          </w:p>
        </w:tc>
        <w:tc>
          <w:tcPr>
            <w:tcW w:w="1985" w:type="dxa"/>
            <w:vMerge/>
            <w:shd w:val="clear" w:color="auto" w:fill="D9D9D9"/>
            <w:tcMar>
              <w:left w:w="57" w:type="dxa"/>
              <w:right w:w="57" w:type="dxa"/>
            </w:tcMar>
            <w:vAlign w:val="bottom"/>
          </w:tcPr>
          <w:p w:rsidR="008D6E9B" w:rsidRPr="00703017" w:rsidRDefault="008D6E9B" w:rsidP="009254E1">
            <w:pPr>
              <w:pStyle w:val="Tabletext"/>
              <w:rPr>
                <w:rFonts w:ascii="Arial Narrow" w:hAnsi="Arial Narrow" w:cs="Arial Narrow"/>
                <w:b/>
                <w:bCs/>
                <w:lang w:val="bg-BG" w:eastAsia="en-GB"/>
              </w:rPr>
            </w:pPr>
          </w:p>
        </w:tc>
        <w:tc>
          <w:tcPr>
            <w:tcW w:w="1970" w:type="dxa"/>
            <w:vMerge/>
            <w:shd w:val="clear" w:color="auto" w:fill="D9D9D9"/>
            <w:noWrap/>
            <w:tcMar>
              <w:left w:w="57" w:type="dxa"/>
              <w:right w:w="57" w:type="dxa"/>
            </w:tcMar>
            <w:vAlign w:val="bottom"/>
          </w:tcPr>
          <w:p w:rsidR="008D6E9B" w:rsidRPr="00703017" w:rsidRDefault="008D6E9B" w:rsidP="009254E1">
            <w:pPr>
              <w:rPr>
                <w:rFonts w:ascii="Arial Narrow" w:hAnsi="Arial Narrow" w:cs="Arial Narrow"/>
                <w:b/>
                <w:bCs/>
                <w:sz w:val="20"/>
                <w:szCs w:val="20"/>
                <w:lang w:val="bg-BG" w:eastAsia="en-GB"/>
              </w:rPr>
            </w:pPr>
          </w:p>
        </w:tc>
        <w:tc>
          <w:tcPr>
            <w:tcW w:w="1432" w:type="dxa"/>
            <w:vMerge/>
            <w:shd w:val="clear" w:color="auto" w:fill="D9D9D9"/>
            <w:noWrap/>
            <w:tcMar>
              <w:left w:w="57" w:type="dxa"/>
              <w:right w:w="57" w:type="dxa"/>
            </w:tcMar>
            <w:vAlign w:val="bottom"/>
          </w:tcPr>
          <w:p w:rsidR="008D6E9B" w:rsidRPr="00703017" w:rsidRDefault="008D6E9B" w:rsidP="009254E1">
            <w:pPr>
              <w:rPr>
                <w:rFonts w:ascii="Arial Narrow" w:hAnsi="Arial Narrow" w:cs="Arial Narrow"/>
                <w:b/>
                <w:bCs/>
                <w:sz w:val="20"/>
                <w:szCs w:val="20"/>
                <w:lang w:val="bg-BG" w:eastAsia="en-GB"/>
              </w:rPr>
            </w:pPr>
          </w:p>
        </w:tc>
        <w:tc>
          <w:tcPr>
            <w:tcW w:w="1275" w:type="dxa"/>
            <w:vMerge/>
            <w:shd w:val="clear" w:color="auto" w:fill="D9D9D9"/>
            <w:noWrap/>
            <w:tcMar>
              <w:left w:w="57" w:type="dxa"/>
              <w:right w:w="57" w:type="dxa"/>
            </w:tcMar>
            <w:vAlign w:val="bottom"/>
          </w:tcPr>
          <w:p w:rsidR="008D6E9B" w:rsidRPr="00703017" w:rsidRDefault="008D6E9B" w:rsidP="009254E1">
            <w:pPr>
              <w:rPr>
                <w:rFonts w:ascii="Arial Narrow" w:hAnsi="Arial Narrow" w:cs="Arial Narrow"/>
                <w:b/>
                <w:bCs/>
                <w:sz w:val="20"/>
                <w:szCs w:val="20"/>
                <w:lang w:val="bg-BG" w:eastAsia="en-GB"/>
              </w:rPr>
            </w:pPr>
          </w:p>
        </w:tc>
        <w:tc>
          <w:tcPr>
            <w:tcW w:w="1303" w:type="dxa"/>
            <w:vMerge/>
            <w:shd w:val="clear" w:color="auto" w:fill="D9D9D9"/>
            <w:tcMar>
              <w:left w:w="57" w:type="dxa"/>
              <w:right w:w="57" w:type="dxa"/>
            </w:tcMar>
            <w:vAlign w:val="bottom"/>
          </w:tcPr>
          <w:p w:rsidR="008D6E9B" w:rsidRPr="00703017" w:rsidRDefault="008D6E9B" w:rsidP="009254E1">
            <w:pPr>
              <w:rPr>
                <w:rFonts w:ascii="Arial Narrow" w:hAnsi="Arial Narrow" w:cs="Arial Narrow"/>
                <w:b/>
                <w:bCs/>
                <w:sz w:val="20"/>
                <w:szCs w:val="20"/>
                <w:lang w:val="bg-BG" w:eastAsia="en-GB"/>
              </w:rPr>
            </w:pPr>
          </w:p>
        </w:tc>
      </w:tr>
      <w:tr w:rsidR="008D6E9B" w:rsidRPr="00CE6C86">
        <w:trPr>
          <w:cantSplit/>
          <w:jc w:val="center"/>
        </w:trPr>
        <w:tc>
          <w:tcPr>
            <w:tcW w:w="766"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9.1</w:t>
            </w:r>
          </w:p>
        </w:tc>
        <w:tc>
          <w:tcPr>
            <w:tcW w:w="1559"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Производство </w:t>
            </w:r>
            <w:r w:rsidRPr="00186201">
              <w:rPr>
                <w:rFonts w:ascii="Arial Narrow" w:hAnsi="Arial Narrow" w:cs="Arial Narrow"/>
                <w:lang w:val="bg-BG"/>
              </w:rPr>
              <w:br/>
            </w:r>
            <w:r w:rsidRPr="00703017">
              <w:rPr>
                <w:rFonts w:ascii="Arial Narrow" w:hAnsi="Arial Narrow" w:cs="Arial Narrow"/>
                <w:lang w:val="bg-BG"/>
              </w:rPr>
              <w:t xml:space="preserve">и промишлена употреба на водни разтвори на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1</w:t>
            </w:r>
          </w:p>
        </w:tc>
        <w:tc>
          <w:tcPr>
            <w:tcW w:w="1985"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3; 1, 2a, 2b, 4, 5, 6a, 6b, 7, 8, 9, 10, 11, 12, 13, 14, 15, 16, 17, 18, 19, 20, 23, 24</w:t>
            </w:r>
          </w:p>
        </w:tc>
        <w:tc>
          <w:tcPr>
            <w:tcW w:w="1970"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7, 8, 9a, 9b, 11, 12, 13, 14, 15, 16, 17, 18, 19, 20, 21, 23, 24, 25, 26, 27, 28, 29, 30, 31, 32, 33, 34, 35, 36, 37, 38, 39, 40</w:t>
            </w:r>
          </w:p>
        </w:tc>
        <w:tc>
          <w:tcPr>
            <w:tcW w:w="1432"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1, 2, 3, 4, 5, 7, 8a, 8b, 9, 10, 12, 13, 14, 15, 16, 17, 18, 19</w:t>
            </w:r>
          </w:p>
        </w:tc>
        <w:tc>
          <w:tcPr>
            <w:tcW w:w="1275"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6a, 6b, 6c, 6d, 7, 12a, 12b, 10a, 10b, 11a, 11b</w:t>
            </w:r>
          </w:p>
        </w:tc>
      </w:tr>
      <w:tr w:rsidR="008D6E9B" w:rsidRPr="00CE6C86">
        <w:trPr>
          <w:cantSplit/>
          <w:jc w:val="center"/>
        </w:trPr>
        <w:tc>
          <w:tcPr>
            <w:tcW w:w="766"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9.2</w:t>
            </w:r>
          </w:p>
        </w:tc>
        <w:tc>
          <w:tcPr>
            <w:tcW w:w="1559"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Производство </w:t>
            </w:r>
            <w:r w:rsidRPr="00186201">
              <w:rPr>
                <w:rFonts w:ascii="Arial Narrow" w:hAnsi="Arial Narrow" w:cs="Arial Narrow"/>
                <w:lang w:val="bg-BG"/>
              </w:rPr>
              <w:br/>
            </w:r>
            <w:r w:rsidRPr="00703017">
              <w:rPr>
                <w:rFonts w:ascii="Arial Narrow" w:hAnsi="Arial Narrow" w:cs="Arial Narrow"/>
                <w:lang w:val="bg-BG"/>
              </w:rPr>
              <w:t xml:space="preserve">и промишлена употреба на ниско запрашени твърди/прахообразни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2</w:t>
            </w:r>
          </w:p>
        </w:tc>
        <w:tc>
          <w:tcPr>
            <w:tcW w:w="1985"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3; 1, 2a, 2b, 4, 5, 6a, 6b, 7, 8, 9, 10, 11, 12, 13, 14, 15, 16, 17, 18, 19, 20, 23, 24</w:t>
            </w:r>
          </w:p>
        </w:tc>
        <w:tc>
          <w:tcPr>
            <w:tcW w:w="1970"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7, 8, 9a, 9b, 11, 12, 13, 14, 15, 16, 17, 18, 19, 20, 21, 23, 24, 25, 26, 27, 28, 29, 30, 31, 32, 33, 34, 35, 36, 37, 38, 39, 40</w:t>
            </w:r>
          </w:p>
        </w:tc>
        <w:tc>
          <w:tcPr>
            <w:tcW w:w="1432"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1, 2, 3, 4, 5, 6, 7, 8a, 8b, 9, 10, 13, 14, 15, 16, 17, 18, 19, 21, 22, 23, 24, 25, 26, 27a, 27b</w:t>
            </w:r>
          </w:p>
        </w:tc>
        <w:tc>
          <w:tcPr>
            <w:tcW w:w="1275"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6a, 6b, 6c, 6d, 7, 12a, 12b, 10a, 10b, 11a, 11b</w:t>
            </w:r>
          </w:p>
        </w:tc>
      </w:tr>
      <w:tr w:rsidR="008D6E9B" w:rsidRPr="00CE6C86">
        <w:trPr>
          <w:cantSplit/>
          <w:jc w:val="center"/>
        </w:trPr>
        <w:tc>
          <w:tcPr>
            <w:tcW w:w="766"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lastRenderedPageBreak/>
              <w:t>9.3</w:t>
            </w:r>
          </w:p>
        </w:tc>
        <w:tc>
          <w:tcPr>
            <w:tcW w:w="1559"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Производство </w:t>
            </w:r>
            <w:r w:rsidRPr="00186201">
              <w:rPr>
                <w:rFonts w:ascii="Arial Narrow" w:hAnsi="Arial Narrow" w:cs="Arial Narrow"/>
                <w:lang w:val="bg-BG"/>
              </w:rPr>
              <w:br/>
            </w:r>
            <w:r w:rsidRPr="00703017">
              <w:rPr>
                <w:rFonts w:ascii="Arial Narrow" w:hAnsi="Arial Narrow" w:cs="Arial Narrow"/>
                <w:lang w:val="bg-BG"/>
              </w:rPr>
              <w:t xml:space="preserve">и промишлена употреба на средно запрашени твърди/прахообразни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3</w:t>
            </w:r>
          </w:p>
        </w:tc>
        <w:tc>
          <w:tcPr>
            <w:tcW w:w="1985"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3; 1, 2a, 2b, 4, 5, 6a, 6b, 7, 8, 9, 10, 11, 12, 13, 14, 15, 16, 17, 18, 19, 20, 23, 24</w:t>
            </w:r>
          </w:p>
        </w:tc>
        <w:tc>
          <w:tcPr>
            <w:tcW w:w="1970"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7, 8, 9a, 9b, 11, 12, 13, 14, 15, 16, 17, 18, 19, 20, 21, 23, 24, 25, 26, 27, 28, 29, 30, 31, 32, 33, 34, 35, 36, 37, 38, 39, 40</w:t>
            </w:r>
          </w:p>
        </w:tc>
        <w:tc>
          <w:tcPr>
            <w:tcW w:w="1432"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1, 2, 3, 4, 5, 7, 8a, 8b, 9, 10, 13, 14, 15, 16, 17, 18, 19, 22, 23, 24, 25, 26, 27a, 27b</w:t>
            </w:r>
          </w:p>
        </w:tc>
        <w:tc>
          <w:tcPr>
            <w:tcW w:w="1275"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6a, 6b, 6c, 6d, 7, 12a, 12b, 10a, 10b, 11a, 11b</w:t>
            </w:r>
          </w:p>
        </w:tc>
      </w:tr>
      <w:tr w:rsidR="008D6E9B" w:rsidRPr="00703017">
        <w:trPr>
          <w:cantSplit/>
          <w:jc w:val="center"/>
        </w:trPr>
        <w:tc>
          <w:tcPr>
            <w:tcW w:w="766"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9.4</w:t>
            </w:r>
          </w:p>
        </w:tc>
        <w:tc>
          <w:tcPr>
            <w:tcW w:w="1559"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Производство </w:t>
            </w:r>
            <w:r w:rsidRPr="00186201">
              <w:rPr>
                <w:rFonts w:ascii="Arial Narrow" w:hAnsi="Arial Narrow" w:cs="Arial Narrow"/>
                <w:lang w:val="bg-BG"/>
              </w:rPr>
              <w:br/>
            </w:r>
            <w:r w:rsidRPr="00703017">
              <w:rPr>
                <w:rFonts w:ascii="Arial Narrow" w:hAnsi="Arial Narrow" w:cs="Arial Narrow"/>
                <w:lang w:val="bg-BG"/>
              </w:rPr>
              <w:t xml:space="preserve">и промишлена употреба на силно запрашени твърди/прахообразни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4</w:t>
            </w:r>
          </w:p>
        </w:tc>
        <w:tc>
          <w:tcPr>
            <w:tcW w:w="1985"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3; 1, 2a, 2b, 4, 5, 6a, 6b, 7, 8, 9, 10, 11, 12, 13, 14, 15, 16, 17, 18, 19, 20, 23, 24</w:t>
            </w:r>
          </w:p>
        </w:tc>
        <w:tc>
          <w:tcPr>
            <w:tcW w:w="1970"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7, 8, 9a, 9b, 11, 12, 13, 14, 15, 16, 17, 18, 19, 20, 21, 23, 24, 25, 26, 27, 28, 29, 30, 31, 32, 33, 34, 35, 36, 37, 38, 39, 40</w:t>
            </w:r>
          </w:p>
        </w:tc>
        <w:tc>
          <w:tcPr>
            <w:tcW w:w="1432"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1, 2, 3, 4, 5, 7, 8a, 8b, 9, 10, 13, 14, 15, 16, 17, 18, 19, 22, 23, 24, 25, 26, 27a, 27b</w:t>
            </w:r>
          </w:p>
        </w:tc>
        <w:tc>
          <w:tcPr>
            <w:tcW w:w="1275"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6a, 6b, 6c, 6d, 7, 12a, 12b, 10a, 11a</w:t>
            </w:r>
          </w:p>
        </w:tc>
      </w:tr>
      <w:tr w:rsidR="008D6E9B" w:rsidRPr="00CE6C86">
        <w:trPr>
          <w:cantSplit/>
          <w:jc w:val="center"/>
        </w:trPr>
        <w:tc>
          <w:tcPr>
            <w:tcW w:w="766"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lastRenderedPageBreak/>
              <w:t>9.5</w:t>
            </w:r>
          </w:p>
        </w:tc>
        <w:tc>
          <w:tcPr>
            <w:tcW w:w="1559"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Производство </w:t>
            </w:r>
            <w:r w:rsidRPr="00186201">
              <w:rPr>
                <w:rFonts w:ascii="Arial Narrow" w:hAnsi="Arial Narrow" w:cs="Arial Narrow"/>
                <w:lang w:val="bg-BG"/>
              </w:rPr>
              <w:br/>
            </w:r>
            <w:r w:rsidRPr="00703017">
              <w:rPr>
                <w:rFonts w:ascii="Arial Narrow" w:hAnsi="Arial Narrow" w:cs="Arial Narrow"/>
                <w:lang w:val="bg-BG"/>
              </w:rPr>
              <w:t xml:space="preserve">и промишлена употреба на масивни предмети, съдържащи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5</w:t>
            </w:r>
          </w:p>
        </w:tc>
        <w:tc>
          <w:tcPr>
            <w:tcW w:w="1985"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3; 1, 2a, 2b, 4, 5, 6a, 6b, 7, 8, 9, 10, 11, 12, 13, 14, 15, 16, 17, 18, 19, 20, 23, 24</w:t>
            </w:r>
          </w:p>
        </w:tc>
        <w:tc>
          <w:tcPr>
            <w:tcW w:w="1970"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7, 8, 9a, 9b, 11, 12, 13, 14, 15, 16, 17, 18, 19, 20, 21, 23, 24, 25, 26, 27, 28, 29, 30, 31, 32, 33, 34, 35, 36, 37, 38, 39, 40</w:t>
            </w:r>
          </w:p>
        </w:tc>
        <w:tc>
          <w:tcPr>
            <w:tcW w:w="1432"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6, 14, 21, 22, 23, 24, 25</w:t>
            </w:r>
          </w:p>
        </w:tc>
        <w:tc>
          <w:tcPr>
            <w:tcW w:w="1275"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6a, 6b, 6c, 6d, 7, 12a, 12b, 10a, 10b, 11a, 11b</w:t>
            </w:r>
          </w:p>
        </w:tc>
      </w:tr>
      <w:tr w:rsidR="008D6E9B" w:rsidRPr="00703017">
        <w:trPr>
          <w:cantSplit/>
          <w:jc w:val="center"/>
        </w:trPr>
        <w:tc>
          <w:tcPr>
            <w:tcW w:w="766"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9.6</w:t>
            </w:r>
          </w:p>
        </w:tc>
        <w:tc>
          <w:tcPr>
            <w:tcW w:w="1559"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Професионална употреба на водни разтвори на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6</w:t>
            </w:r>
          </w:p>
        </w:tc>
        <w:tc>
          <w:tcPr>
            <w:tcW w:w="1985"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22; 1, 5, 6a, 6b, 7, 10, 11, 12, 13, 16, 17, 18, 19, 20, 23, 24</w:t>
            </w:r>
          </w:p>
        </w:tc>
        <w:tc>
          <w:tcPr>
            <w:tcW w:w="1970"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7, 8, 9a, 9b, 11, 12, 13, 14, 15, 16, 17, 18, 19, 20, 21, 23, 24, 25, 26, 27, 28, 29, 30, 31, 32, 33, 34, 35, 36, 37, 38, 39, 40</w:t>
            </w:r>
          </w:p>
        </w:tc>
        <w:tc>
          <w:tcPr>
            <w:tcW w:w="1432"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 3, 4, 5, 8a, 8b, 9, 10, 12, 13, 15, 16, 17, 18, 19</w:t>
            </w:r>
          </w:p>
        </w:tc>
        <w:tc>
          <w:tcPr>
            <w:tcW w:w="1275"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2, 8a, 8b, 8c, 8d, 8e, 8f</w:t>
            </w:r>
          </w:p>
        </w:tc>
      </w:tr>
      <w:tr w:rsidR="008D6E9B" w:rsidRPr="00703017">
        <w:trPr>
          <w:cantSplit/>
          <w:jc w:val="center"/>
        </w:trPr>
        <w:tc>
          <w:tcPr>
            <w:tcW w:w="766"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9.7</w:t>
            </w:r>
          </w:p>
        </w:tc>
        <w:tc>
          <w:tcPr>
            <w:tcW w:w="1559"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Професионална употреба на ниско запрашени твърди/прахообразни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7</w:t>
            </w:r>
          </w:p>
        </w:tc>
        <w:tc>
          <w:tcPr>
            <w:tcW w:w="1985"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22; 1, 5, 6a, 6b, 7, 10, 11, 12, 13, 16, 17, 18, 19, 20, 23, 24</w:t>
            </w:r>
          </w:p>
        </w:tc>
        <w:tc>
          <w:tcPr>
            <w:tcW w:w="1970"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7, 8, 9a, 9b, 11, 12, 13, 14, 15, 16, 17, 18, 19, 20, 21, 23, 24, 25, 26, 27, 28, 29, 30, 31, 32, 33, 34, 35, 36, 37, 38, 39, 40</w:t>
            </w:r>
          </w:p>
        </w:tc>
        <w:tc>
          <w:tcPr>
            <w:tcW w:w="1432"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 3, 4, 5, 8a, 8b, 9, 10, 13, 15, 16, 17, 18, 19, 21, 25, 26</w:t>
            </w:r>
          </w:p>
        </w:tc>
        <w:tc>
          <w:tcPr>
            <w:tcW w:w="1275"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2, 8a, 8b, 8c, 8d, 8e, 8f</w:t>
            </w:r>
          </w:p>
        </w:tc>
      </w:tr>
      <w:tr w:rsidR="008D6E9B" w:rsidRPr="00703017">
        <w:trPr>
          <w:cantSplit/>
          <w:jc w:val="center"/>
        </w:trPr>
        <w:tc>
          <w:tcPr>
            <w:tcW w:w="766"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lastRenderedPageBreak/>
              <w:t>9.8</w:t>
            </w:r>
          </w:p>
        </w:tc>
        <w:tc>
          <w:tcPr>
            <w:tcW w:w="1559"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Професионална употреба на средно запрашени твърди/прахообразни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8</w:t>
            </w:r>
          </w:p>
        </w:tc>
        <w:tc>
          <w:tcPr>
            <w:tcW w:w="1985"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22; 1, 5, 6a, 6b, 7, 10, 11, 12, 13, 16, 17, 18, 19, 20, 23, 24</w:t>
            </w:r>
          </w:p>
        </w:tc>
        <w:tc>
          <w:tcPr>
            <w:tcW w:w="1970"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7, 8, 9a, 9b, 11, 12, 13, 14, 15, 16, 17, 18, 19, 20, 21, 23, 24, 25, 26, 27, 28, 29, 30, 31, 32, 33, 34, 35, 36, 37, 38, 39, 40</w:t>
            </w:r>
          </w:p>
        </w:tc>
        <w:tc>
          <w:tcPr>
            <w:tcW w:w="1432"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 3, 4, 5, 8a, 8b, 9, 10, 13, 15, 16, 17, 18, 19, 25, 26</w:t>
            </w:r>
          </w:p>
        </w:tc>
        <w:tc>
          <w:tcPr>
            <w:tcW w:w="1275"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 8a, 8b, 8c, 8d, 8e, 8f, 9a, 9b</w:t>
            </w:r>
          </w:p>
        </w:tc>
      </w:tr>
      <w:tr w:rsidR="008D6E9B" w:rsidRPr="00703017">
        <w:trPr>
          <w:cantSplit/>
          <w:jc w:val="center"/>
        </w:trPr>
        <w:tc>
          <w:tcPr>
            <w:tcW w:w="766"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9.9</w:t>
            </w:r>
          </w:p>
        </w:tc>
        <w:tc>
          <w:tcPr>
            <w:tcW w:w="1559"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Професионална употреба на високо прашни твърди/прахообразни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9</w:t>
            </w:r>
          </w:p>
        </w:tc>
        <w:tc>
          <w:tcPr>
            <w:tcW w:w="1985"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22; 1, 5, 6a, 6b, 7, 10, 11, 12, 13, 16, 17, 18, 19, 20, 23, 24</w:t>
            </w:r>
          </w:p>
        </w:tc>
        <w:tc>
          <w:tcPr>
            <w:tcW w:w="1970"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7, 8, 9a, 9b, 11, 12, 13, 14, 15, 16, 17, 18, 19, 20, 21, 23, 24, 25, 26, 27, 28, 29, 30, 31, 32, 33, 34, 35, 36, 37, 38, 39, 40</w:t>
            </w:r>
          </w:p>
        </w:tc>
        <w:tc>
          <w:tcPr>
            <w:tcW w:w="1432"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 3, 4, 5, 8a, 8b, 9, 10, 13, 15, 16, 17, 18, 19, 25, 26</w:t>
            </w:r>
          </w:p>
        </w:tc>
        <w:tc>
          <w:tcPr>
            <w:tcW w:w="1275"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2, 8a, 8b, 8c, 8d, 8e, 8f</w:t>
            </w:r>
          </w:p>
        </w:tc>
      </w:tr>
      <w:tr w:rsidR="008D6E9B" w:rsidRPr="00703017">
        <w:trPr>
          <w:cantSplit/>
          <w:jc w:val="center"/>
        </w:trPr>
        <w:tc>
          <w:tcPr>
            <w:tcW w:w="766"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9.10</w:t>
            </w:r>
          </w:p>
        </w:tc>
        <w:tc>
          <w:tcPr>
            <w:tcW w:w="1559"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Професионална употреба на </w:t>
            </w:r>
            <w:r>
              <w:rPr>
                <w:rFonts w:ascii="Arial Narrow" w:hAnsi="Arial Narrow" w:cs="Arial Narrow"/>
                <w:lang w:val="bg-BG"/>
              </w:rPr>
              <w:t>варови</w:t>
            </w:r>
            <w:r w:rsidRPr="00703017">
              <w:rPr>
                <w:rFonts w:ascii="Arial Narrow" w:hAnsi="Arial Narrow" w:cs="Arial Narrow"/>
                <w:lang w:val="bg-BG"/>
              </w:rPr>
              <w:t xml:space="preserve"> вещества в обработка на почвата</w:t>
            </w:r>
          </w:p>
        </w:tc>
        <w:tc>
          <w:tcPr>
            <w:tcW w:w="426"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709"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10</w:t>
            </w:r>
          </w:p>
        </w:tc>
        <w:tc>
          <w:tcPr>
            <w:tcW w:w="1985"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22</w:t>
            </w:r>
          </w:p>
        </w:tc>
        <w:tc>
          <w:tcPr>
            <w:tcW w:w="1970"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9b</w:t>
            </w:r>
          </w:p>
        </w:tc>
        <w:tc>
          <w:tcPr>
            <w:tcW w:w="1432"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5, 8b, 11, 26</w:t>
            </w:r>
          </w:p>
        </w:tc>
        <w:tc>
          <w:tcPr>
            <w:tcW w:w="1275"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p>
        </w:tc>
        <w:tc>
          <w:tcPr>
            <w:tcW w:w="1303"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2, 8a, 8b, 8c, 8d, 8e, 8f</w:t>
            </w:r>
          </w:p>
        </w:tc>
      </w:tr>
      <w:tr w:rsidR="008D6E9B" w:rsidRPr="00703017">
        <w:trPr>
          <w:cantSplit/>
          <w:jc w:val="center"/>
        </w:trPr>
        <w:tc>
          <w:tcPr>
            <w:tcW w:w="766"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lastRenderedPageBreak/>
              <w:t>9.11</w:t>
            </w:r>
          </w:p>
        </w:tc>
        <w:tc>
          <w:tcPr>
            <w:tcW w:w="1559"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Професионална употреба на изделия/контейнери, съдържащи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11</w:t>
            </w:r>
          </w:p>
        </w:tc>
        <w:tc>
          <w:tcPr>
            <w:tcW w:w="1985"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22; 1, 5, 6a, 6b, 7, 10, 11, 12, 13, 16, 17, 18, 19, 20, 23, 24</w:t>
            </w:r>
          </w:p>
        </w:tc>
        <w:tc>
          <w:tcPr>
            <w:tcW w:w="1970"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p>
        </w:tc>
        <w:tc>
          <w:tcPr>
            <w:tcW w:w="1432"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0, 21, 24, 25</w:t>
            </w:r>
          </w:p>
        </w:tc>
        <w:tc>
          <w:tcPr>
            <w:tcW w:w="1275"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10a, 11a, 11b, 12a, 12b</w:t>
            </w:r>
          </w:p>
        </w:tc>
      </w:tr>
      <w:tr w:rsidR="008D6E9B" w:rsidRPr="00703017">
        <w:trPr>
          <w:cantSplit/>
          <w:jc w:val="center"/>
        </w:trPr>
        <w:tc>
          <w:tcPr>
            <w:tcW w:w="766"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9.12</w:t>
            </w:r>
          </w:p>
        </w:tc>
        <w:tc>
          <w:tcPr>
            <w:tcW w:w="1559" w:type="dxa"/>
            <w:tcMar>
              <w:left w:w="57" w:type="dxa"/>
              <w:right w:w="57" w:type="dxa"/>
            </w:tcMa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Консумативна употреба на строителни материали (DIY)</w:t>
            </w:r>
          </w:p>
        </w:tc>
        <w:tc>
          <w:tcPr>
            <w:tcW w:w="426"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12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709"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12</w:t>
            </w:r>
          </w:p>
        </w:tc>
        <w:tc>
          <w:tcPr>
            <w:tcW w:w="1985"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21</w:t>
            </w:r>
          </w:p>
        </w:tc>
        <w:tc>
          <w:tcPr>
            <w:tcW w:w="1970"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9b, 9a</w:t>
            </w:r>
          </w:p>
        </w:tc>
        <w:tc>
          <w:tcPr>
            <w:tcW w:w="1432"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p>
        </w:tc>
        <w:tc>
          <w:tcPr>
            <w:tcW w:w="1275"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p>
        </w:tc>
        <w:tc>
          <w:tcPr>
            <w:tcW w:w="1303"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8</w:t>
            </w:r>
          </w:p>
        </w:tc>
      </w:tr>
      <w:tr w:rsidR="008D6E9B" w:rsidRPr="00703017">
        <w:trPr>
          <w:cantSplit/>
          <w:jc w:val="center"/>
        </w:trPr>
        <w:tc>
          <w:tcPr>
            <w:tcW w:w="766"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9.13</w:t>
            </w:r>
          </w:p>
        </w:tc>
        <w:tc>
          <w:tcPr>
            <w:tcW w:w="1559" w:type="dxa"/>
            <w:tcMar>
              <w:left w:w="57" w:type="dxa"/>
              <w:right w:w="57" w:type="dxa"/>
            </w:tcMa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Консумативна употреба на CO</w:t>
            </w:r>
            <w:r w:rsidRPr="00703017">
              <w:rPr>
                <w:rFonts w:ascii="Arial Narrow" w:hAnsi="Arial Narrow" w:cs="Arial Narrow"/>
                <w:vertAlign w:val="subscript"/>
                <w:lang w:val="bg-BG"/>
              </w:rPr>
              <w:t>2</w:t>
            </w:r>
            <w:r w:rsidRPr="00703017">
              <w:rPr>
                <w:rFonts w:ascii="Arial Narrow" w:hAnsi="Arial Narrow" w:cs="Arial Narrow"/>
                <w:lang w:val="bg-BG"/>
              </w:rPr>
              <w:t xml:space="preserve"> абсорбент в дихателните апарати</w:t>
            </w:r>
          </w:p>
        </w:tc>
        <w:tc>
          <w:tcPr>
            <w:tcW w:w="426"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12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709"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13</w:t>
            </w:r>
          </w:p>
        </w:tc>
        <w:tc>
          <w:tcPr>
            <w:tcW w:w="1985"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21</w:t>
            </w:r>
          </w:p>
        </w:tc>
        <w:tc>
          <w:tcPr>
            <w:tcW w:w="1970"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w:t>
            </w:r>
          </w:p>
        </w:tc>
        <w:tc>
          <w:tcPr>
            <w:tcW w:w="1432"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p>
        </w:tc>
        <w:tc>
          <w:tcPr>
            <w:tcW w:w="1275"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p>
        </w:tc>
        <w:tc>
          <w:tcPr>
            <w:tcW w:w="1303"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8</w:t>
            </w:r>
          </w:p>
        </w:tc>
      </w:tr>
      <w:tr w:rsidR="008D6E9B" w:rsidRPr="00703017">
        <w:trPr>
          <w:cantSplit/>
          <w:jc w:val="center"/>
        </w:trPr>
        <w:tc>
          <w:tcPr>
            <w:tcW w:w="766"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9.14</w:t>
            </w:r>
          </w:p>
        </w:tc>
        <w:tc>
          <w:tcPr>
            <w:tcW w:w="1559" w:type="dxa"/>
            <w:tcMar>
              <w:left w:w="57" w:type="dxa"/>
              <w:right w:w="57" w:type="dxa"/>
            </w:tcMa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Консумативна употреба на градинска вар/торове</w:t>
            </w:r>
          </w:p>
        </w:tc>
        <w:tc>
          <w:tcPr>
            <w:tcW w:w="426"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12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709"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14</w:t>
            </w:r>
          </w:p>
        </w:tc>
        <w:tc>
          <w:tcPr>
            <w:tcW w:w="1985"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21</w:t>
            </w:r>
          </w:p>
        </w:tc>
        <w:tc>
          <w:tcPr>
            <w:tcW w:w="1970"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20, 12</w:t>
            </w:r>
          </w:p>
        </w:tc>
        <w:tc>
          <w:tcPr>
            <w:tcW w:w="1432"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p>
        </w:tc>
        <w:tc>
          <w:tcPr>
            <w:tcW w:w="1275"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p>
        </w:tc>
        <w:tc>
          <w:tcPr>
            <w:tcW w:w="1303"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8e</w:t>
            </w:r>
          </w:p>
        </w:tc>
      </w:tr>
      <w:tr w:rsidR="008D6E9B" w:rsidRPr="00703017">
        <w:trPr>
          <w:cantSplit/>
          <w:jc w:val="center"/>
        </w:trPr>
        <w:tc>
          <w:tcPr>
            <w:tcW w:w="766"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lastRenderedPageBreak/>
              <w:t>9.15</w:t>
            </w:r>
          </w:p>
        </w:tc>
        <w:tc>
          <w:tcPr>
            <w:tcW w:w="1559" w:type="dxa"/>
            <w:tcMar>
              <w:left w:w="57" w:type="dxa"/>
              <w:right w:w="57" w:type="dxa"/>
            </w:tcMa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Консумативна употреба на </w:t>
            </w:r>
            <w:r>
              <w:rPr>
                <w:rFonts w:ascii="Arial Narrow" w:hAnsi="Arial Narrow" w:cs="Arial Narrow"/>
                <w:lang w:val="bg-BG"/>
              </w:rPr>
              <w:t>варови</w:t>
            </w:r>
            <w:r w:rsidRPr="00703017">
              <w:rPr>
                <w:rFonts w:ascii="Arial Narrow" w:hAnsi="Arial Narrow" w:cs="Arial Narrow"/>
                <w:lang w:val="bg-BG"/>
              </w:rPr>
              <w:t xml:space="preserve"> вещества за почистване на водата в аквариумите</w:t>
            </w:r>
          </w:p>
        </w:tc>
        <w:tc>
          <w:tcPr>
            <w:tcW w:w="426"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12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709"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15</w:t>
            </w:r>
          </w:p>
        </w:tc>
        <w:tc>
          <w:tcPr>
            <w:tcW w:w="1985"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21</w:t>
            </w:r>
          </w:p>
        </w:tc>
        <w:tc>
          <w:tcPr>
            <w:tcW w:w="1970"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20, 37</w:t>
            </w:r>
          </w:p>
        </w:tc>
        <w:tc>
          <w:tcPr>
            <w:tcW w:w="1432"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p>
        </w:tc>
        <w:tc>
          <w:tcPr>
            <w:tcW w:w="1275"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p>
        </w:tc>
        <w:tc>
          <w:tcPr>
            <w:tcW w:w="1303"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8</w:t>
            </w:r>
          </w:p>
        </w:tc>
      </w:tr>
      <w:tr w:rsidR="008D6E9B" w:rsidRPr="00703017">
        <w:trPr>
          <w:cantSplit/>
          <w:jc w:val="center"/>
        </w:trPr>
        <w:tc>
          <w:tcPr>
            <w:tcW w:w="766"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9.16</w:t>
            </w:r>
          </w:p>
        </w:tc>
        <w:tc>
          <w:tcPr>
            <w:tcW w:w="1559" w:type="dxa"/>
            <w:tcMar>
              <w:left w:w="57" w:type="dxa"/>
              <w:right w:w="57" w:type="dxa"/>
            </w:tcMar>
          </w:tcPr>
          <w:p w:rsidR="008D6E9B" w:rsidRPr="00703017" w:rsidRDefault="008D6E9B"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Консумативна употреба на козметика, съдържаща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5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1271"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p>
        </w:tc>
        <w:tc>
          <w:tcPr>
            <w:tcW w:w="709" w:type="dxa"/>
            <w:tcMar>
              <w:left w:w="57" w:type="dxa"/>
              <w:right w:w="57" w:type="dxa"/>
            </w:tcMar>
            <w:vAlign w:val="center"/>
          </w:tcPr>
          <w:p w:rsidR="008D6E9B" w:rsidRPr="00703017" w:rsidRDefault="008D6E9B"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16</w:t>
            </w:r>
          </w:p>
        </w:tc>
        <w:tc>
          <w:tcPr>
            <w:tcW w:w="1985"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21</w:t>
            </w:r>
          </w:p>
        </w:tc>
        <w:tc>
          <w:tcPr>
            <w:tcW w:w="1970"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39</w:t>
            </w:r>
          </w:p>
        </w:tc>
        <w:tc>
          <w:tcPr>
            <w:tcW w:w="1432"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p>
        </w:tc>
        <w:tc>
          <w:tcPr>
            <w:tcW w:w="1275" w:type="dxa"/>
            <w:noWrap/>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p>
        </w:tc>
        <w:tc>
          <w:tcPr>
            <w:tcW w:w="1303" w:type="dxa"/>
            <w:tcMar>
              <w:left w:w="57" w:type="dxa"/>
              <w:right w:w="57" w:type="dxa"/>
            </w:tcMar>
            <w:vAlign w:val="center"/>
          </w:tcPr>
          <w:p w:rsidR="008D6E9B" w:rsidRPr="00703017" w:rsidRDefault="008D6E9B"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8</w:t>
            </w:r>
          </w:p>
        </w:tc>
      </w:tr>
    </w:tbl>
    <w:p w:rsidR="008D6E9B" w:rsidRPr="00703017" w:rsidRDefault="008D6E9B" w:rsidP="006A0CE4">
      <w:pPr>
        <w:rPr>
          <w:lang w:val="bg-BG"/>
        </w:rPr>
      </w:pPr>
    </w:p>
    <w:p w:rsidR="008D6E9B" w:rsidRPr="00703017" w:rsidRDefault="008D6E9B" w:rsidP="006A0CE4">
      <w:pPr>
        <w:rPr>
          <w:lang w:val="bg-BG"/>
        </w:rPr>
      </w:pPr>
    </w:p>
    <w:p w:rsidR="008D6E9B" w:rsidRPr="00703017" w:rsidRDefault="008D6E9B" w:rsidP="000F00A4">
      <w:pPr>
        <w:keepNext/>
        <w:spacing w:before="120" w:after="60" w:line="240" w:lineRule="auto"/>
        <w:rPr>
          <w:rFonts w:ascii="Arial" w:hAnsi="Arial" w:cs="Arial"/>
          <w:b/>
          <w:bCs/>
          <w:sz w:val="20"/>
          <w:szCs w:val="20"/>
          <w:lang w:val="bg-BG"/>
        </w:rPr>
        <w:sectPr w:rsidR="008D6E9B" w:rsidRPr="00703017" w:rsidSect="00703017">
          <w:headerReference w:type="default" r:id="rId15"/>
          <w:footerReference w:type="default" r:id="rId16"/>
          <w:pgSz w:w="16838" w:h="11906" w:orient="landscape"/>
          <w:pgMar w:top="1417" w:right="1417" w:bottom="1417" w:left="1134" w:header="708" w:footer="708" w:gutter="0"/>
          <w:cols w:space="708"/>
          <w:docGrid w:linePitch="360"/>
        </w:sectPr>
      </w:pPr>
      <w:bookmarkStart w:id="6" w:name="_Ref265760839"/>
      <w:bookmarkStart w:id="7" w:name="_Toc270425132"/>
    </w:p>
    <w:p w:rsidR="008D6E9B" w:rsidRPr="00703017" w:rsidRDefault="008D6E9B" w:rsidP="00B133BA">
      <w:pPr>
        <w:keepNext/>
        <w:pageBreakBefore/>
        <w:tabs>
          <w:tab w:val="left" w:pos="1418"/>
        </w:tabs>
        <w:spacing w:before="240" w:after="60"/>
        <w:jc w:val="both"/>
        <w:outlineLvl w:val="1"/>
        <w:rPr>
          <w:rFonts w:ascii="Arial" w:hAnsi="Arial" w:cs="Arial"/>
          <w:b/>
          <w:bCs/>
          <w:sz w:val="28"/>
          <w:szCs w:val="28"/>
          <w:lang w:val="bg-BG"/>
        </w:rPr>
      </w:pPr>
      <w:r w:rsidRPr="00703017">
        <w:rPr>
          <w:rFonts w:ascii="Arial" w:hAnsi="Arial" w:cs="Arial"/>
          <w:b/>
          <w:bCs/>
          <w:sz w:val="28"/>
          <w:szCs w:val="28"/>
          <w:lang w:val="bg-BG"/>
        </w:rPr>
        <w:lastRenderedPageBreak/>
        <w:t xml:space="preserve">Номер на ES 9.1: Производство и промишлена употреба на водни разтвори на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bookmarkEnd w:id="6"/>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14"/>
        <w:gridCol w:w="2479"/>
        <w:gridCol w:w="1412"/>
        <w:gridCol w:w="864"/>
        <w:gridCol w:w="776"/>
        <w:gridCol w:w="2017"/>
      </w:tblGrid>
      <w:tr w:rsidR="008D6E9B" w:rsidRPr="0070774F">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D6E9B" w:rsidRPr="00703017">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D6E9B" w:rsidRPr="0070774F">
        <w:trPr>
          <w:trHeight w:val="315"/>
          <w:jc w:val="center"/>
        </w:trPr>
        <w:tc>
          <w:tcPr>
            <w:tcW w:w="0" w:type="auto"/>
            <w:vAlign w:val="center"/>
          </w:tcPr>
          <w:p w:rsidR="008D6E9B" w:rsidRPr="00703017" w:rsidRDefault="008D6E9B" w:rsidP="009D4C75">
            <w:pPr>
              <w:keepNext/>
              <w:spacing w:line="240" w:lineRule="auto"/>
              <w:jc w:val="both"/>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5"/>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Производство и промишлена употреба на водни разтвори на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D6E9B" w:rsidRPr="0070774F">
        <w:trPr>
          <w:trHeight w:val="1349"/>
          <w:jc w:val="center"/>
        </w:trPr>
        <w:tc>
          <w:tcPr>
            <w:tcW w:w="0" w:type="auto"/>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5"/>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SU3, SU1, SU2a, SU2b, SU4, SU5, SU6a, SU6b, SU7, SU8, SU9, SU10, SU11, SU12, SU13, SU14, SU15, SU16, SU17, SU18, SU19, SU20, SU23, SU24</w:t>
            </w:r>
            <w:r w:rsidRPr="00703017">
              <w:rPr>
                <w:lang w:val="bg-BG"/>
              </w:rPr>
              <w:br/>
            </w:r>
            <w:r w:rsidRPr="00703017">
              <w:rPr>
                <w:rFonts w:ascii="Arial" w:hAnsi="Arial" w:cs="Arial"/>
                <w:sz w:val="16"/>
                <w:szCs w:val="16"/>
                <w:lang w:val="bg-BG"/>
              </w:rPr>
              <w:t>PC1, PC2, PC3, PC7, PC8, PC9a, PC9b, PC11, PC12, PC13, PC14, PC15, PC16, PC17, PC18, PC19, PC20, PC21, PC23, PC24, PC25, PC26, PC27, PC28, PC29, PC30, PC31, PC32, PC33, PC34, PC35, PC36, PC37, PC38, PC39, PC40</w:t>
            </w:r>
            <w:r w:rsidRPr="00703017">
              <w:rPr>
                <w:lang w:val="bg-BG"/>
              </w:rPr>
              <w:br/>
            </w:r>
            <w:r w:rsidRPr="00703017">
              <w:rPr>
                <w:rFonts w:ascii="Arial" w:hAnsi="Arial" w:cs="Arial"/>
                <w:sz w:val="16"/>
                <w:szCs w:val="16"/>
                <w:lang w:val="bg-BG"/>
              </w:rPr>
              <w:t>AC1, AC2, AC3, AC4, AC5, AC6, AC7, AC8, AC10, AC11, AC13</w:t>
            </w:r>
          </w:p>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D6E9B" w:rsidRPr="0070774F">
        <w:trPr>
          <w:trHeight w:val="525"/>
          <w:jc w:val="center"/>
        </w:trPr>
        <w:tc>
          <w:tcPr>
            <w:tcW w:w="0" w:type="auto"/>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5"/>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D6E9B" w:rsidRPr="0070774F">
        <w:trPr>
          <w:trHeight w:val="444"/>
          <w:jc w:val="center"/>
        </w:trPr>
        <w:tc>
          <w:tcPr>
            <w:tcW w:w="0" w:type="auto"/>
            <w:vAlign w:val="center"/>
          </w:tcPr>
          <w:p w:rsidR="008D6E9B" w:rsidRPr="00703017" w:rsidRDefault="008D6E9B" w:rsidP="009D4C75">
            <w:pPr>
              <w:spacing w:line="240" w:lineRule="auto"/>
              <w:jc w:val="both"/>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5"/>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w:t>
            </w:r>
          </w:p>
        </w:tc>
      </w:tr>
      <w:tr w:rsidR="008D6E9B" w:rsidRPr="0070774F">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D6E9B" w:rsidRPr="00703017">
        <w:trPr>
          <w:trHeight w:val="315"/>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PROC/ERC</w:t>
            </w:r>
          </w:p>
        </w:tc>
        <w:tc>
          <w:tcPr>
            <w:tcW w:w="4304" w:type="dxa"/>
            <w:gridSpan w:val="3"/>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3330" w:type="dxa"/>
            <w:gridSpan w:val="2"/>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процес, няма вероятност от експозиция</w:t>
            </w:r>
          </w:p>
        </w:tc>
        <w:tc>
          <w:tcPr>
            <w:tcW w:w="3330" w:type="dxa"/>
            <w:gridSpan w:val="2"/>
            <w:vMerge w:val="restart"/>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Повече информация е представена в Ръководството ECHA за информационните изисквания и оценка на безопасността на химичните вещаства, Глава R.12: Дескрипторна система на употребите (ECHA-2010-G-05-EN).</w:t>
            </w: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непрекъснат процес със случайно контролирана експозиция</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3</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периодичен процес (синтез или формулиране)</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4</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периодичен или друг процес (синтез), където се появява възможност за експозиция</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5</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Смесване или блендиране в периодичен процес за формулиране на препарати и изделия (многостепенен и/или значителен контакт)</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3017">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7</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Пулверизиране в промишлена среда</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8a</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общи съоръжения</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8b</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специални съоръжения</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9</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в малки контейнери (специална линия за пълнене, включително претегляне)</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10</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Нанасяне с валяк или с четка</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12</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продухващи агенти при производството на пяна</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13</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Третиране на изделия при боядисване чрез потапяне и изливане</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14</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на препарати или изделия чрез таблетиране, компресия, екструдиране, пелетиране</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3017">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15</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лабораторни реагенти</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16</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материал като горивен източник, очаква се ограничена експозиция към неизгорял продукт</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Смазване при високо енергийни условия и в частично открит процес</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18</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Гресиране при високо енергийни условия</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Ръчно смесване с близък контакт и налични само ЛПС</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ERC 1-7, 12</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формулиране и всички начини на промишлена употреба</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9D4C75">
            <w:pPr>
              <w:spacing w:line="240" w:lineRule="auto"/>
              <w:jc w:val="both"/>
              <w:rPr>
                <w:rFonts w:ascii="Arial" w:hAnsi="Arial" w:cs="Arial"/>
                <w:b/>
                <w:bCs/>
                <w:sz w:val="16"/>
                <w:szCs w:val="16"/>
                <w:lang w:val="bg-BG" w:eastAsia="de-DE"/>
              </w:rPr>
            </w:pPr>
            <w:r w:rsidRPr="00703017">
              <w:rPr>
                <w:rFonts w:ascii="Arial" w:hAnsi="Arial" w:cs="Arial"/>
                <w:b/>
                <w:bCs/>
                <w:sz w:val="16"/>
                <w:szCs w:val="16"/>
                <w:lang w:val="bg-BG"/>
              </w:rPr>
              <w:t>ERC 10, 11</w:t>
            </w:r>
          </w:p>
        </w:tc>
        <w:tc>
          <w:tcPr>
            <w:tcW w:w="4304"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Широко дисперсивна употреба на открито и в закрити помещения на изделия и материали с дълъг живот </w:t>
            </w:r>
          </w:p>
        </w:tc>
        <w:tc>
          <w:tcPr>
            <w:tcW w:w="3330"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2.1 Контрол на експозицията на работниците</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trHeight w:val="841"/>
          <w:jc w:val="center"/>
        </w:trPr>
        <w:tc>
          <w:tcPr>
            <w:tcW w:w="0" w:type="auto"/>
            <w:gridSpan w:val="6"/>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абразивност се взема предвид нивото й, вместо вътрешно присъщия емисионен потенциал на веществото. Приема се, че пръскането с водни разтвори (PROC7 and 11) е свързано със средни емисии.</w:t>
            </w:r>
          </w:p>
        </w:tc>
      </w:tr>
      <w:tr w:rsidR="008D6E9B" w:rsidRPr="00703017">
        <w:trPr>
          <w:trHeight w:val="301"/>
          <w:jc w:val="center"/>
        </w:trPr>
        <w:tc>
          <w:tcPr>
            <w:tcW w:w="0" w:type="auto"/>
            <w:vAlign w:val="center"/>
          </w:tcPr>
          <w:p w:rsidR="008D6E9B" w:rsidRPr="00703017" w:rsidRDefault="008D6E9B" w:rsidP="009D4C75">
            <w:pPr>
              <w:keepNext/>
              <w:spacing w:line="240" w:lineRule="auto"/>
              <w:jc w:val="both"/>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gridSpan w:val="2"/>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воден разтвор</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среден</w:t>
            </w:r>
          </w:p>
        </w:tc>
      </w:tr>
      <w:tr w:rsidR="008D6E9B" w:rsidRPr="00703017">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воден разтвор</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много нисък</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774F">
        <w:trPr>
          <w:trHeight w:val="673"/>
          <w:jc w:val="center"/>
        </w:trPr>
        <w:tc>
          <w:tcPr>
            <w:tcW w:w="0" w:type="auto"/>
            <w:gridSpan w:val="6"/>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детерминант на вътрешно присъщия на процеса емисионен потенциал.</w:t>
            </w:r>
          </w:p>
        </w:tc>
      </w:tr>
      <w:tr w:rsidR="008D6E9B" w:rsidRPr="0070774F">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5"/>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w:t>
            </w:r>
          </w:p>
        </w:tc>
        <w:tc>
          <w:tcPr>
            <w:tcW w:w="0" w:type="auto"/>
            <w:gridSpan w:val="5"/>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D6E9B" w:rsidRPr="00703017">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5"/>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D6E9B" w:rsidRPr="00703017">
        <w:trPr>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D6E9B" w:rsidRPr="00703017">
        <w:trPr>
          <w:trHeight w:val="368"/>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Тъй като водни разтвори не се използват в горещите металургични процеси, работните условия (напр. температура и налягане на процеса) не се считат за релевантни при оценката на професионалната експозиция на извършваните процеси.</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3017">
        <w:trPr>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Измервания на ниво процес като елемент на управлението на риска (напр. задържане или сегрегиране на емисионния източник) по принцип не се изискват при процесите.</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контрол на дисперсията от източника към работника</w:t>
            </w: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gridSpan w:val="2"/>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D6E9B" w:rsidRPr="00703017">
        <w:trPr>
          <w:trHeight w:val="852"/>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w:t>
            </w:r>
          </w:p>
        </w:tc>
        <w:tc>
          <w:tcPr>
            <w:tcW w:w="0" w:type="auto"/>
            <w:vMerge w:val="restart"/>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Всяко потенциално налагащо се откъсване на работниците от емисионния източник се включва по-горе под надслова </w:t>
            </w:r>
            <w:r>
              <w:rPr>
                <w:rFonts w:ascii="Arial" w:hAnsi="Arial" w:cs="Arial"/>
                <w:sz w:val="16"/>
                <w:szCs w:val="16"/>
                <w:lang w:val="bg-BG"/>
              </w:rPr>
              <w:t>„</w:t>
            </w:r>
            <w:r w:rsidRPr="00703017">
              <w:rPr>
                <w:rFonts w:ascii="Arial" w:hAnsi="Arial" w:cs="Arial"/>
                <w:sz w:val="16"/>
                <w:szCs w:val="16"/>
                <w:lang w:val="bg-BG"/>
              </w:rPr>
              <w:t>Честота и 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Намаляване на продължителността на експозицията може да се постигне, примерно, чрез инсталиране на вентилирани контролни стаи (позитивно налягане) или чрез извеждане на работника от работното място със съответната експозиция.</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местна вентилация на отработените газове</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78 %</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852"/>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vMerge/>
            <w:vAlign w:val="center"/>
          </w:tcPr>
          <w:p w:rsidR="008D6E9B" w:rsidRPr="00703017" w:rsidRDefault="008D6E9B" w:rsidP="009D4C75">
            <w:pPr>
              <w:keepNext/>
              <w:jc w:val="center"/>
              <w:rPr>
                <w:rFonts w:ascii="Arial" w:hAnsi="Arial" w:cs="Arial"/>
                <w:sz w:val="16"/>
                <w:szCs w:val="16"/>
                <w:lang w:val="bg-BG" w:eastAsia="de-DE"/>
              </w:rPr>
            </w:pPr>
          </w:p>
        </w:tc>
        <w:tc>
          <w:tcPr>
            <w:tcW w:w="0" w:type="auto"/>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неприложимо</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852"/>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Организационни мерки за предотвратяване/ограничаване на отделянията, дисперсията и експозицията</w:t>
            </w:r>
          </w:p>
        </w:tc>
      </w:tr>
      <w:tr w:rsidR="008D6E9B" w:rsidRPr="0070774F">
        <w:trPr>
          <w:trHeight w:val="882"/>
          <w:jc w:val="center"/>
        </w:trPr>
        <w:tc>
          <w:tcPr>
            <w:tcW w:w="0" w:type="auto"/>
            <w:gridSpan w:val="6"/>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w:t>
            </w:r>
            <w:bookmarkStart w:id="8" w:name="_Hlk256427317"/>
            <w:r w:rsidRPr="00703017">
              <w:rPr>
                <w:rFonts w:ascii="Arial" w:hAnsi="Arial" w:cs="Arial"/>
                <w:sz w:val="16"/>
                <w:szCs w:val="16"/>
                <w:lang w:val="bg-BG"/>
              </w:rPr>
              <w:t>стандартни работни дрехи и обувки</w:t>
            </w:r>
            <w:bookmarkEnd w:id="8"/>
            <w:r w:rsidRPr="00703017">
              <w:rPr>
                <w:rFonts w:ascii="Arial" w:hAnsi="Arial" w:cs="Arial"/>
                <w:sz w:val="16"/>
                <w:szCs w:val="16"/>
                <w:lang w:val="bg-BG"/>
              </w:rPr>
              <w:t xml:space="preserve"> освен ако не е казано друго по-долу. Вземете душ и се преоблечете в края на работната см</w:t>
            </w:r>
            <w:r>
              <w:rPr>
                <w:rFonts w:ascii="Arial" w:hAnsi="Arial" w:cs="Arial"/>
                <w:sz w:val="16"/>
                <w:szCs w:val="16"/>
                <w:lang w:val="bg-BG"/>
              </w:rPr>
              <w:t>яна. Не носете заразени дрехи в</w:t>
            </w:r>
            <w:r w:rsidRPr="00703017">
              <w:rPr>
                <w:rFonts w:ascii="Arial" w:hAnsi="Arial" w:cs="Arial"/>
                <w:sz w:val="16"/>
                <w:szCs w:val="16"/>
                <w:lang w:val="bg-BG"/>
              </w:rPr>
              <w:t>къщи. Не издухвайте праха с въздух под налягане.</w:t>
            </w:r>
          </w:p>
        </w:tc>
      </w:tr>
      <w:tr w:rsidR="008D6E9B" w:rsidRPr="0070774F">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за лична защита, хигиена и оценка на здравето</w:t>
            </w: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gridSpan w:val="2"/>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D6E9B" w:rsidRPr="0070774F">
        <w:trPr>
          <w:trHeight w:val="1164"/>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gridSpan w:val="2"/>
            <w:vMerge w:val="restart"/>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w:t>
            </w:r>
            <w:r w:rsidRPr="0070774F">
              <w:rPr>
                <w:rFonts w:ascii="Arial" w:hAnsi="Arial" w:cs="Arial"/>
                <w:sz w:val="16"/>
                <w:szCs w:val="16"/>
                <w:lang w:val="bg-BG"/>
              </w:rPr>
              <w:t>като CaO</w:t>
            </w:r>
            <w:r w:rsidRPr="00703017">
              <w:rPr>
                <w:rFonts w:ascii="Arial" w:hAnsi="Arial" w:cs="Arial"/>
                <w:sz w:val="16"/>
                <w:szCs w:val="16"/>
                <w:lang w:val="bg-BG"/>
              </w:rPr>
              <w:t xml:space="preserve"> е класифицирано като дразнещо кожата, задължителна е употребата на защитни ръкавици на всички етапи на процеса.</w:t>
            </w:r>
          </w:p>
        </w:tc>
        <w:tc>
          <w:tcPr>
            <w:tcW w:w="0" w:type="auto"/>
            <w:vMerge w:val="restart"/>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D6E9B" w:rsidRPr="00703017">
        <w:trPr>
          <w:trHeight w:val="1164"/>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454"/>
          <w:jc w:val="center"/>
        </w:trPr>
        <w:tc>
          <w:tcPr>
            <w:tcW w:w="0" w:type="auto"/>
            <w:gridSpan w:val="6"/>
            <w:vAlign w:val="center"/>
          </w:tcPr>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D6E9B" w:rsidRPr="00703017" w:rsidRDefault="008D6E9B"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Общ преглед на APF на различните RPE (съгласно BS EN 529:2005) може да се намери в глосара на MEASE.</w:t>
            </w:r>
          </w:p>
        </w:tc>
      </w:tr>
      <w:tr w:rsidR="008D6E9B" w:rsidRPr="0070774F">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2.2 Контрол на експозицията за околната среда</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3017">
        <w:trPr>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Дневното и годишното количество на обект (за точкови източници) не се счита за основен детерминант на експозицията за околната среда.</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D6E9B" w:rsidRPr="00703017">
        <w:trPr>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Прекъсваема (&lt; 12 пъти в годината) или непрекъсваема употреба/отделяне</w:t>
            </w:r>
          </w:p>
        </w:tc>
      </w:tr>
      <w:tr w:rsidR="008D6E9B" w:rsidRPr="00703017">
        <w:trPr>
          <w:trHeight w:val="315"/>
          <w:jc w:val="center"/>
        </w:trPr>
        <w:tc>
          <w:tcPr>
            <w:tcW w:w="0" w:type="auto"/>
            <w:gridSpan w:val="6"/>
            <w:shd w:val="clear" w:color="000000" w:fill="CCCCCC"/>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D6E9B" w:rsidRPr="00703017">
        <w:trPr>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Скорост на потока на приемащите повърхностни води: 18</w:t>
            </w:r>
            <w:r w:rsidRPr="005A3622">
              <w:rPr>
                <w:rFonts w:ascii="Arial" w:hAnsi="Arial" w:cs="Arial"/>
                <w:sz w:val="16"/>
                <w:szCs w:val="16"/>
              </w:rPr>
              <w:t xml:space="preserve"> </w:t>
            </w:r>
            <w:r w:rsidRPr="00703017">
              <w:rPr>
                <w:rFonts w:ascii="Arial" w:hAnsi="Arial" w:cs="Arial"/>
                <w:sz w:val="16"/>
                <w:szCs w:val="16"/>
                <w:lang w:val="bg-BG"/>
              </w:rPr>
              <w:t>000 m³/ден</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rPr>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Скорос</w:t>
            </w:r>
            <w:r>
              <w:rPr>
                <w:rFonts w:ascii="Arial" w:hAnsi="Arial" w:cs="Arial"/>
                <w:sz w:val="16"/>
                <w:szCs w:val="16"/>
                <w:lang w:val="bg-BG"/>
              </w:rPr>
              <w:t>т на изтичащия отпаден поток: 2</w:t>
            </w:r>
            <w:r w:rsidRPr="00703017">
              <w:rPr>
                <w:rFonts w:ascii="Arial" w:hAnsi="Arial" w:cs="Arial"/>
                <w:sz w:val="16"/>
                <w:szCs w:val="16"/>
                <w:lang w:val="bg-BG"/>
              </w:rPr>
              <w:t>000 m³/ден</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D6E9B" w:rsidRPr="0070774F">
        <w:trPr>
          <w:trHeight w:val="765"/>
          <w:jc w:val="center"/>
        </w:trPr>
        <w:tc>
          <w:tcPr>
            <w:tcW w:w="0" w:type="auto"/>
            <w:gridSpan w:val="6"/>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Мерките за управление на риска за околната среда целят избягване на изпускания на </w:t>
            </w:r>
            <w:r>
              <w:rPr>
                <w:rFonts w:ascii="Arial" w:hAnsi="Arial" w:cs="Arial"/>
                <w:sz w:val="16"/>
                <w:szCs w:val="16"/>
                <w:lang w:val="bg-BG"/>
              </w:rPr>
              <w:t>варови</w:t>
            </w:r>
            <w:r w:rsidRPr="00703017">
              <w:rPr>
                <w:rFonts w:ascii="Arial" w:hAnsi="Arial" w:cs="Arial"/>
                <w:sz w:val="16"/>
                <w:szCs w:val="16"/>
                <w:lang w:val="bg-BG"/>
              </w:rPr>
              <w:t xml:space="preserve"> разтвори в обществената канализация или в повърхностните води, когато се очаква тези изпускания да доведат до значителни промени на pH. Изисква се редовен контрол на нивото на pH в процеса на въвеждане на индустриалните в природните води. Най-общо изпусканията трябва да се извършват по такъв начин, че промяната в нивото на pH в приемащите повърхностни води да е минимално (напр. чрез неутрализация). По принцип болшинството водни организми могат да понесат стойности на pH в рамките на 6-9. Това е отразено и в </w:t>
            </w:r>
            <w:r w:rsidRPr="005A3622">
              <w:rPr>
                <w:rFonts w:ascii="Arial" w:hAnsi="Arial" w:cs="Arial"/>
                <w:sz w:val="16"/>
                <w:szCs w:val="16"/>
                <w:lang w:val="bg-BG"/>
              </w:rPr>
              <w:t>описанието на</w:t>
            </w:r>
            <w:r w:rsidRPr="00703017">
              <w:rPr>
                <w:rFonts w:ascii="Arial" w:hAnsi="Arial" w:cs="Arial"/>
                <w:sz w:val="16"/>
                <w:szCs w:val="16"/>
                <w:lang w:val="bg-BG"/>
              </w:rPr>
              <w:t xml:space="preserve"> стандартни тестове с водни организми OECD. Обосновката на тази мярка за управление на риска може да се намери в уводната част.</w:t>
            </w:r>
          </w:p>
        </w:tc>
      </w:tr>
      <w:tr w:rsidR="008D6E9B" w:rsidRPr="0070774F">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Условия и мерки, свързани с отпадъците</w:t>
            </w:r>
          </w:p>
        </w:tc>
      </w:tr>
      <w:tr w:rsidR="008D6E9B" w:rsidRPr="0070774F">
        <w:trPr>
          <w:trHeight w:val="356"/>
          <w:jc w:val="center"/>
        </w:trPr>
        <w:tc>
          <w:tcPr>
            <w:tcW w:w="0" w:type="auto"/>
            <w:gridSpan w:val="6"/>
            <w:vAlign w:val="center"/>
          </w:tcPr>
          <w:p w:rsidR="008D6E9B" w:rsidRPr="00703017" w:rsidRDefault="008D6E9B" w:rsidP="005A3622">
            <w:pPr>
              <w:spacing w:line="240" w:lineRule="auto"/>
              <w:jc w:val="both"/>
              <w:rPr>
                <w:rFonts w:ascii="Arial" w:hAnsi="Arial" w:cs="Arial"/>
                <w:sz w:val="16"/>
                <w:szCs w:val="16"/>
                <w:lang w:val="bg-BG" w:eastAsia="de-DE"/>
              </w:rPr>
            </w:pPr>
            <w:r w:rsidRPr="00703017">
              <w:rPr>
                <w:rFonts w:ascii="Arial" w:hAnsi="Arial" w:cs="Arial"/>
                <w:sz w:val="16"/>
                <w:szCs w:val="16"/>
                <w:lang w:val="bg-BG"/>
              </w:rPr>
              <w:t>Твърдите промишлени отпадъци от вар трябва да се рециклират или изхвърлят в промишлените отпадни води и да се неутрализират по-нататък, ако е необходимо.</w:t>
            </w:r>
          </w:p>
        </w:tc>
      </w:tr>
      <w:tr w:rsidR="008D6E9B" w:rsidRPr="0070774F">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3. Оценка на експозицията и референция на източника</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D6E9B" w:rsidRPr="0070774F">
        <w:trPr>
          <w:trHeight w:val="601"/>
          <w:jc w:val="center"/>
        </w:trPr>
        <w:tc>
          <w:tcPr>
            <w:tcW w:w="0" w:type="auto"/>
            <w:gridSpan w:val="6"/>
            <w:vAlign w:val="center"/>
          </w:tcPr>
          <w:p w:rsidR="008D6E9B" w:rsidRPr="0070774F" w:rsidRDefault="008D6E9B" w:rsidP="00C817D1">
            <w:pPr>
              <w:keepNext/>
              <w:spacing w:line="240" w:lineRule="auto"/>
              <w:rPr>
                <w:rFonts w:ascii="Arial" w:hAnsi="Arial" w:cs="Arial"/>
                <w:sz w:val="16"/>
                <w:szCs w:val="16"/>
                <w:lang w:val="bg-BG" w:eastAsia="de-DE"/>
              </w:rPr>
            </w:pPr>
            <w:r w:rsidRPr="0070774F">
              <w:rPr>
                <w:rFonts w:ascii="Arial" w:hAnsi="Arial" w:cs="Arial"/>
                <w:sz w:val="16"/>
                <w:szCs w:val="16"/>
                <w:lang w:val="bg-BG"/>
              </w:rPr>
              <w:t>Инструментът за оценка на експозицията MEASE се използва за оценка на експозицията при вдишване. Съотношението на характеризиране на риска (RCR) еотношение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за CaO от 1 mg/m³ (като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тъй като вдишаната фракция е подфракция на вдишваната фракция, съгласно EN 481.</w:t>
            </w:r>
          </w:p>
        </w:tc>
      </w:tr>
      <w:tr w:rsidR="008D6E9B" w:rsidRPr="0070774F">
        <w:trPr>
          <w:trHeight w:val="679"/>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Методология, използвана за оценка на експозицията при вдишване</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на експозиция при вдишване (RCR)</w:t>
            </w:r>
          </w:p>
        </w:tc>
        <w:tc>
          <w:tcPr>
            <w:tcW w:w="0" w:type="auto"/>
            <w:gridSpan w:val="2"/>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Методология, използвана за оценка на дермалната експозиция</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при дермална експозиция (RCR)</w:t>
            </w: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 2, 3, 4, 5, 7, 8a, 8b, 9, 10, 12, 13, 14, 15, 16, 17, 18, 19</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&lt; 1 mg/m³ (0</w:t>
            </w:r>
            <w:r w:rsidRPr="0070774F">
              <w:rPr>
                <w:rFonts w:ascii="Arial" w:hAnsi="Arial" w:cs="Arial"/>
                <w:sz w:val="16"/>
                <w:szCs w:val="16"/>
                <w:lang w:val="de-DE"/>
              </w:rPr>
              <w:t>,</w:t>
            </w:r>
            <w:r w:rsidRPr="0070774F">
              <w:rPr>
                <w:rFonts w:ascii="Arial" w:hAnsi="Arial" w:cs="Arial"/>
                <w:sz w:val="16"/>
                <w:szCs w:val="16"/>
                <w:lang w:val="bg-BG"/>
              </w:rPr>
              <w:t>001 – 0</w:t>
            </w:r>
            <w:r w:rsidRPr="0070774F">
              <w:rPr>
                <w:rFonts w:ascii="Arial" w:hAnsi="Arial" w:cs="Arial"/>
                <w:sz w:val="16"/>
                <w:szCs w:val="16"/>
                <w:lang w:val="de-DE"/>
              </w:rPr>
              <w:t>,</w:t>
            </w:r>
            <w:r w:rsidRPr="0070774F">
              <w:rPr>
                <w:rFonts w:ascii="Arial" w:hAnsi="Arial" w:cs="Arial"/>
                <w:sz w:val="16"/>
                <w:szCs w:val="16"/>
                <w:lang w:val="bg-BG"/>
              </w:rPr>
              <w:t>66)</w:t>
            </w:r>
          </w:p>
        </w:tc>
        <w:tc>
          <w:tcPr>
            <w:tcW w:w="0" w:type="auto"/>
            <w:gridSpan w:val="3"/>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Тъй като CaO се класифицират като дразнещи кожата, дермалната експозиция трябва да се минимализира до технически оправданото. Не е получен DNEL за дермалните ефекти. Така че дермалната експозиция не се оценява в този сценарий на експозиция.</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w:t>
            </w:r>
          </w:p>
        </w:tc>
      </w:tr>
      <w:tr w:rsidR="008D6E9B" w:rsidRPr="0070774F">
        <w:trPr>
          <w:cantSplit/>
          <w:trHeight w:val="301"/>
          <w:jc w:val="center"/>
        </w:trPr>
        <w:tc>
          <w:tcPr>
            <w:tcW w:w="0" w:type="auto"/>
            <w:gridSpan w:val="6"/>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Оценката на експозицията за околната среда се отнася само до водната среда, когато тя е засегната, вкл. ПСОВ/ППСОВ, тъй като емисиите на </w:t>
            </w:r>
            <w:r>
              <w:rPr>
                <w:rFonts w:ascii="Arial" w:hAnsi="Arial" w:cs="Arial"/>
                <w:sz w:val="16"/>
                <w:szCs w:val="16"/>
                <w:lang w:val="bg-BG"/>
              </w:rPr>
              <w:t>варови</w:t>
            </w:r>
            <w:r w:rsidRPr="00703017">
              <w:rPr>
                <w:rFonts w:ascii="Arial" w:hAnsi="Arial" w:cs="Arial"/>
                <w:sz w:val="16"/>
                <w:szCs w:val="16"/>
                <w:lang w:val="bg-BG"/>
              </w:rPr>
              <w:t xml:space="preserve"> вещества на различните стадий на жизнения цикъл (производство и употреба) засягат основно водата (отпадна). Оценката на ефекта върху и риска за водата се занимава само с въздействието върху организмите/екосистемите поради възможни изпускания на OH и промяна на pH, като токсичността на Ca2+ се очаква да е незначителна в сравнение с (потенциалния) ефект на pH. Разглежда се само на местно ниво, в т.ч. общинските ПСОВ и ППСОВ, където ги има, както за производство, така и за промишлено ползване, тъй като се очакват ефекти единствено на местно ниво. Високата разтворимост във вода и много ниското парно налягане показват, че </w:t>
            </w:r>
            <w:r w:rsidRPr="005A3622">
              <w:rPr>
                <w:rFonts w:ascii="Arial" w:hAnsi="Arial" w:cs="Arial"/>
                <w:sz w:val="16"/>
                <w:szCs w:val="16"/>
                <w:lang w:val="bg-BG"/>
              </w:rPr>
              <w:t>варовото</w:t>
            </w:r>
            <w:r w:rsidRPr="00703017">
              <w:rPr>
                <w:rFonts w:ascii="Arial" w:hAnsi="Arial" w:cs="Arial"/>
                <w:sz w:val="16"/>
                <w:szCs w:val="16"/>
                <w:lang w:val="bg-BG"/>
              </w:rPr>
              <w:t xml:space="preserve"> вещество може да се открие основно във водата. Значителни емисии и експозиция на въздуха не се очакват, поради ниското парно налягане на веществото. Значителни емисии или експозиция на сухоземната среда също не се очакват за този </w:t>
            </w:r>
            <w:r w:rsidRPr="005A3622">
              <w:rPr>
                <w:rFonts w:ascii="Arial" w:hAnsi="Arial" w:cs="Arial"/>
                <w:sz w:val="16"/>
                <w:szCs w:val="16"/>
                <w:lang w:val="bg-BG"/>
              </w:rPr>
              <w:t>сценарий на</w:t>
            </w:r>
            <w:r w:rsidRPr="00703017">
              <w:rPr>
                <w:rFonts w:ascii="Arial" w:hAnsi="Arial" w:cs="Arial"/>
                <w:sz w:val="16"/>
                <w:szCs w:val="16"/>
                <w:lang w:val="bg-BG"/>
              </w:rPr>
              <w:t xml:space="preserve"> експозиция. Оценката на експозицията за водната среда следователно се занимава само с възможните промени на pH в отходните води на ПСОВ и повърхностните води, свързани с изпускането на OH на местно ниво. Към оценката на експозицията се подхожда с оценка на въздействието на получилото се pH: pH на повърхностните води не трябва да надвишава 9.</w:t>
            </w:r>
          </w:p>
          <w:p w:rsidR="008D6E9B" w:rsidRPr="00703017" w:rsidRDefault="008D6E9B" w:rsidP="009D4C75">
            <w:pPr>
              <w:spacing w:line="240" w:lineRule="auto"/>
              <w:rPr>
                <w:rFonts w:ascii="Arial" w:hAnsi="Arial" w:cs="Arial"/>
                <w:sz w:val="16"/>
                <w:szCs w:val="16"/>
                <w:lang w:val="bg-BG" w:eastAsia="de-DE"/>
              </w:rPr>
            </w:pP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5"/>
            <w:vAlign w:val="center"/>
          </w:tcPr>
          <w:p w:rsidR="008D6E9B" w:rsidRPr="00703017" w:rsidRDefault="008D6E9B" w:rsidP="006B23EB">
            <w:pPr>
              <w:spacing w:line="240" w:lineRule="auto"/>
              <w:rPr>
                <w:rFonts w:ascii="Arial" w:hAnsi="Arial" w:cs="Arial"/>
                <w:sz w:val="16"/>
                <w:szCs w:val="16"/>
                <w:lang w:val="bg-BG" w:eastAsia="de-DE"/>
              </w:rPr>
            </w:pPr>
            <w:r w:rsidRPr="00703017">
              <w:rPr>
                <w:rFonts w:ascii="Arial" w:hAnsi="Arial" w:cs="Arial"/>
                <w:sz w:val="16"/>
                <w:szCs w:val="16"/>
                <w:lang w:val="bg-BG"/>
              </w:rPr>
              <w:t xml:space="preserve">Производството на </w:t>
            </w:r>
            <w:r>
              <w:rPr>
                <w:rFonts w:ascii="Arial" w:hAnsi="Arial" w:cs="Arial"/>
                <w:sz w:val="16"/>
                <w:szCs w:val="16"/>
                <w:lang w:val="bg-BG"/>
              </w:rPr>
              <w:t>варови</w:t>
            </w:r>
            <w:r w:rsidRPr="00703017">
              <w:rPr>
                <w:rFonts w:ascii="Arial" w:hAnsi="Arial" w:cs="Arial"/>
                <w:sz w:val="16"/>
                <w:szCs w:val="16"/>
                <w:lang w:val="bg-BG"/>
              </w:rPr>
              <w:t xml:space="preserve"> вещества може евентуално да доведе до водни емисии и увеличаване на локалното ниво на концентрацията на веществото, което се отразява на pH във водната среда. Когато pH не се неутрализира, изпускането на отпадни води от производството на </w:t>
            </w:r>
            <w:r>
              <w:rPr>
                <w:rFonts w:ascii="Arial" w:hAnsi="Arial" w:cs="Arial"/>
                <w:sz w:val="16"/>
                <w:szCs w:val="16"/>
                <w:lang w:val="bg-BG"/>
              </w:rPr>
              <w:t>варови</w:t>
            </w:r>
            <w:r w:rsidRPr="00703017">
              <w:rPr>
                <w:rFonts w:ascii="Arial" w:hAnsi="Arial" w:cs="Arial"/>
                <w:sz w:val="16"/>
                <w:szCs w:val="16"/>
                <w:lang w:val="bg-BG"/>
              </w:rPr>
              <w:t xml:space="preserve"> вещества може да повлияе pH на приемащата река. pH на заустваната вода обикновено се измерва много често и може да бъде лесно неутрализирано, толкова често, колкото се изисква от националното законодателство.</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5"/>
            <w:vAlign w:val="center"/>
          </w:tcPr>
          <w:p w:rsidR="008D6E9B" w:rsidRPr="00703017" w:rsidRDefault="008D6E9B" w:rsidP="006B23EB">
            <w:pPr>
              <w:spacing w:line="240" w:lineRule="auto"/>
              <w:rPr>
                <w:rFonts w:ascii="Arial" w:hAnsi="Arial" w:cs="Arial"/>
                <w:sz w:val="16"/>
                <w:szCs w:val="16"/>
                <w:lang w:val="bg-BG" w:eastAsia="de-DE"/>
              </w:rPr>
            </w:pPr>
            <w:r w:rsidRPr="00703017">
              <w:rPr>
                <w:rFonts w:ascii="Arial" w:hAnsi="Arial" w:cs="Arial"/>
                <w:sz w:val="16"/>
                <w:szCs w:val="16"/>
                <w:lang w:val="bg-BG"/>
              </w:rPr>
              <w:t xml:space="preserve">Отпадните води от производството на </w:t>
            </w:r>
            <w:r>
              <w:rPr>
                <w:rFonts w:ascii="Arial" w:hAnsi="Arial" w:cs="Arial"/>
                <w:sz w:val="16"/>
                <w:szCs w:val="16"/>
                <w:lang w:val="bg-BG"/>
              </w:rPr>
              <w:t>варови</w:t>
            </w:r>
            <w:r w:rsidRPr="00703017">
              <w:rPr>
                <w:rFonts w:ascii="Arial" w:hAnsi="Arial" w:cs="Arial"/>
                <w:sz w:val="16"/>
                <w:szCs w:val="16"/>
                <w:lang w:val="bg-BG"/>
              </w:rPr>
              <w:t xml:space="preserve"> вещества представляват неорганичен поток и затова не се третират биологично. Следователно, отпадния поток от обекти за производство на </w:t>
            </w:r>
            <w:r>
              <w:rPr>
                <w:rFonts w:ascii="Arial" w:hAnsi="Arial" w:cs="Arial"/>
                <w:sz w:val="16"/>
                <w:szCs w:val="16"/>
                <w:lang w:val="bg-BG"/>
              </w:rPr>
              <w:t>варови</w:t>
            </w:r>
            <w:r w:rsidRPr="00703017">
              <w:rPr>
                <w:rFonts w:ascii="Arial" w:hAnsi="Arial" w:cs="Arial"/>
                <w:sz w:val="16"/>
                <w:szCs w:val="16"/>
                <w:lang w:val="bg-BG"/>
              </w:rPr>
              <w:t xml:space="preserve"> вещества обикновено не се третират в биологични ППСОВ, но могат да се използват за контрол на pH на киселинните отпадни водни потоци, които се обработват в биологичните ППСОВ.</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водно-пелагична камера</w:t>
            </w:r>
          </w:p>
        </w:tc>
        <w:tc>
          <w:tcPr>
            <w:tcW w:w="0" w:type="auto"/>
            <w:gridSpan w:val="5"/>
            <w:vAlign w:val="center"/>
          </w:tcPr>
          <w:p w:rsidR="008D6E9B" w:rsidRPr="00703017" w:rsidRDefault="008D6E9B" w:rsidP="00DC750C">
            <w:pPr>
              <w:spacing w:line="240" w:lineRule="auto"/>
              <w:rPr>
                <w:rFonts w:ascii="Arial" w:hAnsi="Arial" w:cs="Arial"/>
                <w:sz w:val="16"/>
                <w:szCs w:val="16"/>
                <w:lang w:val="bg-BG" w:eastAsia="de-DE"/>
              </w:rPr>
            </w:pPr>
            <w:r w:rsidRPr="00703017">
              <w:rPr>
                <w:rFonts w:ascii="Arial" w:hAnsi="Arial" w:cs="Arial"/>
                <w:sz w:val="16"/>
                <w:szCs w:val="16"/>
                <w:lang w:val="bg-BG"/>
              </w:rPr>
              <w:t>Когато варовото вещество се емитира в повърхностните води, сорбцията в частици и седименти е незначителна. Когато варта се отделя в повърхностните води, pH може да нарасне в зависимост от буферния капацитет на водата. Колкото е по-висок буферният капацитет на водата, толкова по-нисък е ефектът върху pH. Най-общо буферният капацитет, който не позволява промяна в киселинността или алкалността на водите, се регулира от равновесието между въглеродния двуокис (CO2), бикарбонатния йон (HCO3-) и карбонатния йон (CO32-).</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5"/>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Седиментната част не е включена в този ES, защото не се счита за релевантна по отношение на </w:t>
            </w:r>
            <w:r>
              <w:rPr>
                <w:rFonts w:ascii="Arial" w:hAnsi="Arial" w:cs="Arial"/>
                <w:sz w:val="16"/>
                <w:szCs w:val="16"/>
                <w:lang w:val="bg-BG"/>
              </w:rPr>
              <w:t>варови</w:t>
            </w:r>
            <w:r w:rsidRPr="00703017">
              <w:rPr>
                <w:rFonts w:ascii="Arial" w:hAnsi="Arial" w:cs="Arial"/>
                <w:sz w:val="16"/>
                <w:szCs w:val="16"/>
                <w:lang w:val="bg-BG"/>
              </w:rPr>
              <w:t>те вещества: когато едно такова вещество се емитира във водна среда, сорбцията в седиментарни частици е незначителна.</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gridSpan w:val="5"/>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Сухоземната част не е включена в този сценарий на експозиция, защото се счита за ирелевантна.</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lastRenderedPageBreak/>
              <w:t>Концентрация на експозицията в атмосферата</w:t>
            </w:r>
          </w:p>
        </w:tc>
        <w:tc>
          <w:tcPr>
            <w:tcW w:w="0" w:type="auto"/>
            <w:gridSpan w:val="5"/>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Атмосферната част не е включена в този CSA, защото не се счита за релевантна по отношение на </w:t>
            </w:r>
            <w:r>
              <w:rPr>
                <w:rFonts w:ascii="Arial" w:hAnsi="Arial" w:cs="Arial"/>
                <w:sz w:val="16"/>
                <w:szCs w:val="16"/>
                <w:lang w:val="bg-BG"/>
              </w:rPr>
              <w:t>варови</w:t>
            </w:r>
            <w:r w:rsidRPr="00703017">
              <w:rPr>
                <w:rFonts w:ascii="Arial" w:hAnsi="Arial" w:cs="Arial"/>
                <w:sz w:val="16"/>
                <w:szCs w:val="16"/>
                <w:lang w:val="bg-BG"/>
              </w:rPr>
              <w:t xml:space="preserve">те вещества: когато се емитират във въздуха като воден аерозол, </w:t>
            </w:r>
            <w:r>
              <w:rPr>
                <w:rFonts w:ascii="Arial" w:hAnsi="Arial" w:cs="Arial"/>
                <w:sz w:val="16"/>
                <w:szCs w:val="16"/>
                <w:lang w:val="bg-BG"/>
              </w:rPr>
              <w:t>варови</w:t>
            </w:r>
            <w:r w:rsidRPr="00703017">
              <w:rPr>
                <w:rFonts w:ascii="Arial" w:hAnsi="Arial" w:cs="Arial"/>
                <w:sz w:val="16"/>
                <w:szCs w:val="16"/>
                <w:lang w:val="bg-BG"/>
              </w:rPr>
              <w:t xml:space="preserve">те вещества се неутрализират, в резултат на реакцията им с CO2 (или други киселини), във HCO3- и Ca2+. Впоследствие, солите (като калциевия бикарбонат) се отмиват от въздуха и по този начин атмосферните емисии на неутрализираните </w:t>
            </w:r>
            <w:r>
              <w:rPr>
                <w:rFonts w:ascii="Arial" w:hAnsi="Arial" w:cs="Arial"/>
                <w:sz w:val="16"/>
                <w:szCs w:val="16"/>
                <w:lang w:val="bg-BG"/>
              </w:rPr>
              <w:t>варови</w:t>
            </w:r>
            <w:r w:rsidRPr="00703017">
              <w:rPr>
                <w:rFonts w:ascii="Arial" w:hAnsi="Arial" w:cs="Arial"/>
                <w:sz w:val="16"/>
                <w:szCs w:val="16"/>
                <w:lang w:val="bg-BG"/>
              </w:rPr>
              <w:t xml:space="preserve"> вещества в голямата си част попадат в почвата и водите.</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5"/>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Биоакумулирането не е релевантно за </w:t>
            </w:r>
            <w:r>
              <w:rPr>
                <w:rFonts w:ascii="Arial" w:hAnsi="Arial" w:cs="Arial"/>
                <w:sz w:val="16"/>
                <w:szCs w:val="16"/>
                <w:lang w:val="bg-BG"/>
              </w:rPr>
              <w:t>варови</w:t>
            </w:r>
            <w:r w:rsidRPr="00703017">
              <w:rPr>
                <w:rFonts w:ascii="Arial" w:hAnsi="Arial" w:cs="Arial"/>
                <w:sz w:val="16"/>
                <w:szCs w:val="16"/>
                <w:lang w:val="bg-BG"/>
              </w:rPr>
              <w:t>те вещества: следователно не се налага оценка на риска за вторично отравяне.</w:t>
            </w:r>
          </w:p>
        </w:tc>
      </w:tr>
      <w:tr w:rsidR="008D6E9B" w:rsidRPr="0070774F">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 xml:space="preserve">4. Ръководство за </w:t>
            </w:r>
            <w:r w:rsidRPr="00A9118C">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D6E9B" w:rsidRPr="0070774F">
        <w:trPr>
          <w:cantSplit/>
          <w:trHeight w:val="315"/>
          <w:jc w:val="center"/>
        </w:trPr>
        <w:tc>
          <w:tcPr>
            <w:tcW w:w="0" w:type="auto"/>
            <w:gridSpan w:val="6"/>
            <w:vAlign w:val="center"/>
          </w:tcPr>
          <w:p w:rsidR="008D6E9B" w:rsidRPr="00703017" w:rsidRDefault="008D6E9B" w:rsidP="009D4C75">
            <w:pPr>
              <w:spacing w:line="240" w:lineRule="auto"/>
              <w:rPr>
                <w:rFonts w:ascii="Arial" w:hAnsi="Arial" w:cs="Arial"/>
                <w:sz w:val="16"/>
                <w:szCs w:val="16"/>
                <w:lang w:val="bg-BG" w:eastAsia="de-DE"/>
              </w:rPr>
            </w:pPr>
            <w:r w:rsidRPr="00A9118C">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дермалната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sidRPr="00A9118C">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скалиращ инструмент, като MEASE (</w:t>
            </w:r>
            <w:hyperlink r:id="rId17"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глосара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w:t>
            </w:r>
            <w:r>
              <w:rPr>
                <w:rFonts w:ascii="Arial" w:hAnsi="Arial" w:cs="Arial"/>
                <w:sz w:val="16"/>
                <w:szCs w:val="16"/>
                <w:lang w:val="bg-BG"/>
              </w:rPr>
              <w:t>а със запрашеност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D6E9B" w:rsidRPr="00703017" w:rsidRDefault="008D6E9B" w:rsidP="009D4C75">
            <w:pPr>
              <w:spacing w:before="60" w:after="60" w:line="240" w:lineRule="auto"/>
              <w:rPr>
                <w:rFonts w:ascii="Arial" w:hAnsi="Arial" w:cs="Arial"/>
                <w:sz w:val="20"/>
                <w:szCs w:val="20"/>
                <w:lang w:val="bg-BG" w:eastAsia="de-DE"/>
              </w:rPr>
            </w:pPr>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r w:rsidRPr="00703017">
              <w:rPr>
                <w:rFonts w:ascii="Arial" w:hAnsi="Arial" w:cs="Arial"/>
                <w:sz w:val="20"/>
                <w:szCs w:val="20"/>
                <w:lang w:val="bg-BG"/>
              </w:rPr>
              <w:t>:</w:t>
            </w:r>
            <w:r w:rsidRPr="00703017">
              <w:rPr>
                <w:rFonts w:ascii="Arial" w:hAnsi="Arial" w:cs="Arial"/>
                <w:sz w:val="20"/>
                <w:szCs w:val="20"/>
                <w:lang w:val="bg-BG"/>
              </w:rPr>
              <w:tab/>
              <w:t>1 mg/m³ (като вдишван прах)</w:t>
            </w:r>
          </w:p>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sidRPr="00A9118C">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mg/m³.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w:t>
            </w:r>
          </w:p>
        </w:tc>
      </w:tr>
      <w:tr w:rsidR="008D6E9B" w:rsidRPr="00703017">
        <w:trPr>
          <w:trHeight w:val="1310"/>
          <w:jc w:val="center"/>
        </w:trPr>
        <w:tc>
          <w:tcPr>
            <w:tcW w:w="0" w:type="auto"/>
            <w:gridSpan w:val="6"/>
            <w:vAlign w:val="center"/>
          </w:tcPr>
          <w:p w:rsidR="008D6E9B" w:rsidRPr="00703017" w:rsidRDefault="008D6E9B" w:rsidP="009D4C75">
            <w:pPr>
              <w:tabs>
                <w:tab w:val="left" w:pos="1701"/>
              </w:tabs>
              <w:spacing w:before="60" w:after="60" w:line="240" w:lineRule="auto"/>
              <w:jc w:val="both"/>
              <w:rPr>
                <w:rFonts w:ascii="Arial" w:hAnsi="Arial" w:cs="Arial"/>
                <w:sz w:val="16"/>
                <w:szCs w:val="16"/>
                <w:lang w:val="bg-BG" w:eastAsia="de-DE"/>
              </w:rPr>
            </w:pPr>
            <w:r w:rsidRPr="00703017">
              <w:rPr>
                <w:rFonts w:ascii="Arial" w:hAnsi="Arial" w:cs="Arial"/>
                <w:sz w:val="16"/>
                <w:szCs w:val="16"/>
                <w:lang w:val="bg-BG"/>
              </w:rPr>
              <w:t>Ако даден обект не отговаря на условията, посочени в сценария за експозиция при безопасна употреба, препоръчва се да се приложи подход по редове за извършване на по-прецизна оценка. За извършване на такава оценка се препоръчва следния поетапен подход.</w:t>
            </w:r>
          </w:p>
          <w:p w:rsidR="008D6E9B" w:rsidRPr="00703017" w:rsidRDefault="008D6E9B" w:rsidP="009D4C75">
            <w:pPr>
              <w:tabs>
                <w:tab w:val="left" w:pos="1701"/>
              </w:tabs>
              <w:spacing w:before="60" w:after="60" w:line="240" w:lineRule="auto"/>
              <w:jc w:val="both"/>
              <w:rPr>
                <w:rFonts w:ascii="Arial" w:hAnsi="Arial" w:cs="Arial"/>
                <w:sz w:val="16"/>
                <w:szCs w:val="16"/>
                <w:lang w:val="bg-BG" w:eastAsia="de-DE"/>
              </w:rPr>
            </w:pPr>
          </w:p>
          <w:p w:rsidR="008D6E9B" w:rsidRPr="00703017" w:rsidRDefault="008D6E9B" w:rsidP="009D4C75">
            <w:pPr>
              <w:tabs>
                <w:tab w:val="left" w:pos="1701"/>
              </w:tabs>
              <w:spacing w:before="60" w:after="60" w:line="240" w:lineRule="auto"/>
              <w:jc w:val="both"/>
              <w:rPr>
                <w:rFonts w:ascii="Arial" w:hAnsi="Arial" w:cs="Arial"/>
                <w:sz w:val="16"/>
                <w:szCs w:val="16"/>
                <w:lang w:val="bg-BG" w:eastAsia="de-DE"/>
              </w:rPr>
            </w:pPr>
            <w:r w:rsidRPr="00703017">
              <w:rPr>
                <w:rFonts w:ascii="Arial" w:hAnsi="Arial" w:cs="Arial"/>
                <w:b/>
                <w:bCs/>
                <w:sz w:val="16"/>
                <w:szCs w:val="16"/>
                <w:lang w:val="bg-BG"/>
              </w:rPr>
              <w:t>Ред 1</w:t>
            </w:r>
            <w:r w:rsidRPr="00703017">
              <w:rPr>
                <w:rFonts w:ascii="Arial" w:hAnsi="Arial" w:cs="Arial"/>
                <w:sz w:val="16"/>
                <w:szCs w:val="16"/>
                <w:lang w:val="bg-BG"/>
              </w:rPr>
              <w:t>: получете информация за pH на отпадните води и за приноса на варовото вещество за този резултат. Ако pH е над 9 и основно се дължи на варта, наложителни са следващите действия за демонстриране на безопасна употреба.</w:t>
            </w:r>
          </w:p>
          <w:p w:rsidR="008D6E9B" w:rsidRPr="00703017" w:rsidRDefault="008D6E9B" w:rsidP="009D4C75">
            <w:pPr>
              <w:tabs>
                <w:tab w:val="left" w:pos="1701"/>
              </w:tabs>
              <w:spacing w:before="60" w:after="60" w:line="240" w:lineRule="auto"/>
              <w:jc w:val="both"/>
              <w:rPr>
                <w:rFonts w:ascii="Arial" w:hAnsi="Arial" w:cs="Arial"/>
                <w:sz w:val="16"/>
                <w:szCs w:val="16"/>
                <w:lang w:val="bg-BG" w:eastAsia="de-DE"/>
              </w:rPr>
            </w:pPr>
          </w:p>
          <w:p w:rsidR="008D6E9B" w:rsidRPr="00703017" w:rsidRDefault="008D6E9B" w:rsidP="009D4C75">
            <w:pPr>
              <w:tabs>
                <w:tab w:val="left" w:pos="1701"/>
              </w:tabs>
              <w:spacing w:before="60" w:after="60" w:line="240" w:lineRule="auto"/>
              <w:jc w:val="both"/>
              <w:rPr>
                <w:rFonts w:ascii="Arial" w:hAnsi="Arial" w:cs="Arial"/>
                <w:sz w:val="16"/>
                <w:szCs w:val="16"/>
                <w:lang w:val="bg-BG" w:eastAsia="de-DE"/>
              </w:rPr>
            </w:pPr>
            <w:r w:rsidRPr="00703017">
              <w:rPr>
                <w:rFonts w:ascii="Arial" w:hAnsi="Arial" w:cs="Arial"/>
                <w:b/>
                <w:bCs/>
                <w:sz w:val="16"/>
                <w:szCs w:val="16"/>
                <w:lang w:val="bg-BG"/>
              </w:rPr>
              <w:t>Ред 2а</w:t>
            </w:r>
            <w:r w:rsidRPr="00703017">
              <w:rPr>
                <w:rFonts w:ascii="Arial" w:hAnsi="Arial" w:cs="Arial"/>
                <w:sz w:val="16"/>
                <w:szCs w:val="16"/>
                <w:lang w:val="bg-BG"/>
              </w:rPr>
              <w:t xml:space="preserve">: получете информация за pH на приемащите води след точката на заустване. pH на приемащите води не трябва да надвишава 9. Ако няма налични измервания, pH в реката може да се изчисли по следния начин: </w:t>
            </w:r>
          </w:p>
          <w:p w:rsidR="008D6E9B" w:rsidRPr="00703017" w:rsidRDefault="008D6E9B" w:rsidP="009D4C75">
            <w:pPr>
              <w:tabs>
                <w:tab w:val="left" w:pos="1701"/>
              </w:tabs>
              <w:spacing w:before="60" w:after="60" w:line="240" w:lineRule="auto"/>
              <w:jc w:val="both"/>
              <w:rPr>
                <w:rFonts w:ascii="Arial" w:hAnsi="Arial" w:cs="Arial"/>
                <w:sz w:val="16"/>
                <w:szCs w:val="16"/>
                <w:lang w:val="bg-BG" w:eastAsia="de-DE"/>
              </w:rPr>
            </w:pPr>
          </w:p>
          <w:p w:rsidR="008D6E9B" w:rsidRPr="00703017" w:rsidRDefault="001D5CEE" w:rsidP="009D4C75">
            <w:pPr>
              <w:tabs>
                <w:tab w:val="left" w:pos="1701"/>
              </w:tabs>
              <w:spacing w:before="60" w:after="60" w:line="240" w:lineRule="auto"/>
              <w:jc w:val="both"/>
              <w:rPr>
                <w:rFonts w:ascii="Arial" w:hAnsi="Arial" w:cs="Arial"/>
                <w:position w:val="-30"/>
                <w:vertAlign w:val="subscript"/>
                <w:lang w:val="bg-BG"/>
              </w:rPr>
            </w:pPr>
            <w:r>
              <w:rPr>
                <w:rFonts w:ascii="Arial" w:hAnsi="Arial" w:cs="Arial"/>
                <w:noProof/>
                <w:sz w:val="16"/>
                <w:szCs w:val="16"/>
                <w:lang w:val="bg-BG" w:eastAsia="bg-BG"/>
              </w:rPr>
              <mc:AlternateContent>
                <mc:Choice Requires="wpc">
                  <w:drawing>
                    <wp:inline distT="0" distB="0" distL="0" distR="0">
                      <wp:extent cx="4159250" cy="814070"/>
                      <wp:effectExtent l="4445" t="0" r="0" b="0"/>
                      <wp:docPr id="142" name="Пла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87" name="Group 7"/>
                              <wpg:cNvGrpSpPr>
                                <a:grpSpLocks/>
                              </wpg:cNvGrpSpPr>
                              <wpg:grpSpPr bwMode="auto">
                                <a:xfrm>
                                  <a:off x="1188085" y="121285"/>
                                  <a:ext cx="2735580" cy="490220"/>
                                  <a:chOff x="60" y="-25"/>
                                  <a:chExt cx="4308" cy="772"/>
                                </a:xfrm>
                              </wpg:grpSpPr>
                              <wps:wsp>
                                <wps:cNvPr id="88" name="Rectangle 8"/>
                                <wps:cNvSpPr>
                                  <a:spLocks noChangeArrowheads="1"/>
                                </wps:cNvSpPr>
                                <wps:spPr bwMode="auto">
                                  <a:xfrm>
                                    <a:off x="60" y="208"/>
                                    <a:ext cx="81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3540A0">
                                      <w:r>
                                        <w:rPr>
                                          <w:rFonts w:ascii="Times" w:hAnsi="Times" w:cs="Times"/>
                                          <w:i/>
                                          <w:iCs/>
                                          <w:color w:val="000000"/>
                                          <w:sz w:val="24"/>
                                          <w:szCs w:val="24"/>
                                          <w:lang w:val="en-US"/>
                                        </w:rPr>
                                        <w:t>pHriver</w:t>
                                      </w:r>
                                    </w:p>
                                  </w:txbxContent>
                                </wps:txbx>
                                <wps:bodyPr rot="0" vert="horz" wrap="none" lIns="0" tIns="0" rIns="0" bIns="0" anchor="t" anchorCtr="0" upright="1">
                                  <a:spAutoFit/>
                                </wps:bodyPr>
                              </wps:wsp>
                              <wps:wsp>
                                <wps:cNvPr id="89" name="Rectangle 9"/>
                                <wps:cNvSpPr>
                                  <a:spLocks noChangeArrowheads="1"/>
                                </wps:cNvSpPr>
                                <wps:spPr bwMode="auto">
                                  <a:xfrm>
                                    <a:off x="876" y="180"/>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3540A0">
                                      <w:r>
                                        <w:rPr>
                                          <w:rFonts w:ascii="Symbol" w:hAnsi="Symbol" w:cs="Symbol"/>
                                          <w:color w:val="000000"/>
                                          <w:sz w:val="24"/>
                                          <w:szCs w:val="24"/>
                                          <w:lang w:val="en-US"/>
                                        </w:rPr>
                                        <w:t></w:t>
                                      </w:r>
                                    </w:p>
                                  </w:txbxContent>
                                </wps:txbx>
                                <wps:bodyPr rot="0" vert="horz" wrap="none" lIns="0" tIns="0" rIns="0" bIns="0" anchor="t" anchorCtr="0" upright="1">
                                  <a:spAutoFit/>
                                </wps:bodyPr>
                              </wps:wsp>
                              <wps:wsp>
                                <wps:cNvPr id="90" name="Rectangle 10"/>
                                <wps:cNvSpPr>
                                  <a:spLocks noChangeArrowheads="1"/>
                                </wps:cNvSpPr>
                                <wps:spPr bwMode="auto">
                                  <a:xfrm>
                                    <a:off x="1067" y="208"/>
                                    <a:ext cx="43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3540A0">
                                      <w:r>
                                        <w:rPr>
                                          <w:rFonts w:ascii="Times" w:hAnsi="Times" w:cs="Times"/>
                                          <w:i/>
                                          <w:iCs/>
                                          <w:color w:val="000000"/>
                                          <w:sz w:val="24"/>
                                          <w:szCs w:val="24"/>
                                          <w:lang w:val="en-US"/>
                                        </w:rPr>
                                        <w:t>Log</w:t>
                                      </w:r>
                                    </w:p>
                                  </w:txbxContent>
                                </wps:txbx>
                                <wps:bodyPr rot="0" vert="horz" wrap="none" lIns="0" tIns="0" rIns="0" bIns="0" anchor="t" anchorCtr="0" upright="1">
                                  <a:spAutoFit/>
                                </wps:bodyPr>
                              </wps:wsp>
                              <wps:wsp>
                                <wps:cNvPr id="91" name="Rectangle 11"/>
                                <wps:cNvSpPr>
                                  <a:spLocks noChangeArrowheads="1"/>
                                </wps:cNvSpPr>
                                <wps:spPr bwMode="auto">
                                  <a:xfrm>
                                    <a:off x="1527" y="56"/>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D6160C" w:rsidRDefault="00AB5450" w:rsidP="003540A0">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wps:txbx>
                                <wps:bodyPr rot="0" vert="horz" wrap="none" lIns="0" tIns="0" rIns="0" bIns="0" anchor="t" anchorCtr="0" upright="1">
                                  <a:noAutofit/>
                                </wps:bodyPr>
                              </wps:wsp>
                              <wps:wsp>
                                <wps:cNvPr id="92" name="Rectangle 12"/>
                                <wps:cNvSpPr>
                                  <a:spLocks noChangeArrowheads="1"/>
                                </wps:cNvSpPr>
                                <wps:spPr bwMode="auto">
                                  <a:xfrm>
                                    <a:off x="2104"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3540A0">
                                      <w:r>
                                        <w:rPr>
                                          <w:rFonts w:ascii="Times" w:hAnsi="Times" w:cs="Times"/>
                                          <w:color w:val="000000"/>
                                          <w:sz w:val="24"/>
                                          <w:szCs w:val="24"/>
                                          <w:lang w:val="en-US"/>
                                        </w:rPr>
                                        <w:t>*</w:t>
                                      </w:r>
                                    </w:p>
                                  </w:txbxContent>
                                </wps:txbx>
                                <wps:bodyPr rot="0" vert="horz" wrap="none" lIns="0" tIns="0" rIns="0" bIns="0" anchor="t" anchorCtr="0" upright="1">
                                  <a:spAutoFit/>
                                </wps:bodyPr>
                              </wps:wsp>
                              <wps:wsp>
                                <wps:cNvPr id="93" name="Rectangle 13"/>
                                <wps:cNvSpPr>
                                  <a:spLocks noChangeArrowheads="1"/>
                                </wps:cNvSpPr>
                                <wps:spPr bwMode="auto">
                                  <a:xfrm>
                                    <a:off x="2234"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3540A0">
                                      <w:r>
                                        <w:rPr>
                                          <w:rFonts w:ascii="Times" w:hAnsi="Times" w:cs="Times"/>
                                          <w:color w:val="000000"/>
                                          <w:sz w:val="24"/>
                                          <w:szCs w:val="24"/>
                                          <w:lang w:val="en-US"/>
                                        </w:rPr>
                                        <w:t>10</w:t>
                                      </w:r>
                                    </w:p>
                                  </w:txbxContent>
                                </wps:txbx>
                                <wps:bodyPr rot="0" vert="horz" wrap="none" lIns="0" tIns="0" rIns="0" bIns="0" anchor="t" anchorCtr="0" upright="1">
                                  <a:spAutoFit/>
                                </wps:bodyPr>
                              </wps:wsp>
                              <wps:wsp>
                                <wps:cNvPr id="94" name="Rectangle 14"/>
                                <wps:cNvSpPr>
                                  <a:spLocks noChangeArrowheads="1"/>
                                </wps:cNvSpPr>
                                <wps:spPr bwMode="auto">
                                  <a:xfrm>
                                    <a:off x="2494" y="38"/>
                                    <a:ext cx="405"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3540A0">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
                                  </w:txbxContent>
                                </wps:txbx>
                                <wps:bodyPr rot="0" vert="horz" wrap="none" lIns="0" tIns="0" rIns="0" bIns="0" anchor="t" anchorCtr="0" upright="1">
                                  <a:spAutoFit/>
                                </wps:bodyPr>
                              </wps:wsp>
                              <wps:wsp>
                                <wps:cNvPr id="95" name="Rectangle 15"/>
                                <wps:cNvSpPr>
                                  <a:spLocks noChangeArrowheads="1"/>
                                </wps:cNvSpPr>
                                <wps:spPr bwMode="auto">
                                  <a:xfrm>
                                    <a:off x="2895" y="28"/>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3540A0">
                                      <w:r>
                                        <w:rPr>
                                          <w:rFonts w:ascii="Symbol" w:hAnsi="Symbol" w:cs="Symbol"/>
                                          <w:color w:val="000000"/>
                                          <w:sz w:val="24"/>
                                          <w:szCs w:val="24"/>
                                          <w:lang w:val="en-US"/>
                                        </w:rPr>
                                        <w:t></w:t>
                                      </w:r>
                                    </w:p>
                                  </w:txbxContent>
                                </wps:txbx>
                                <wps:bodyPr rot="0" vert="horz" wrap="none" lIns="0" tIns="0" rIns="0" bIns="0" anchor="t" anchorCtr="0" upright="1">
                                  <a:spAutoFit/>
                                </wps:bodyPr>
                              </wps:wsp>
                              <wps:wsp>
                                <wps:cNvPr id="128" name="Rectangle 16"/>
                                <wps:cNvSpPr>
                                  <a:spLocks noChangeArrowheads="1"/>
                                </wps:cNvSpPr>
                                <wps:spPr bwMode="auto">
                                  <a:xfrm>
                                    <a:off x="3102" y="49"/>
                                    <a:ext cx="47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E03A8E" w:rsidRDefault="00AB5450" w:rsidP="003540A0">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wps:txbx>
                                <wps:bodyPr rot="0" vert="horz" wrap="none" lIns="0" tIns="0" rIns="0" bIns="0" anchor="t" anchorCtr="0" upright="1">
                                  <a:spAutoFit/>
                                </wps:bodyPr>
                              </wps:wsp>
                              <wps:wsp>
                                <wps:cNvPr id="129" name="Rectangle 17"/>
                                <wps:cNvSpPr>
                                  <a:spLocks noChangeArrowheads="1"/>
                                </wps:cNvSpPr>
                                <wps:spPr bwMode="auto">
                                  <a:xfrm>
                                    <a:off x="3536"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3540A0">
                                      <w:r>
                                        <w:rPr>
                                          <w:rFonts w:ascii="Times" w:hAnsi="Times" w:cs="Times"/>
                                          <w:color w:val="000000"/>
                                          <w:sz w:val="24"/>
                                          <w:szCs w:val="24"/>
                                          <w:lang w:val="en-US"/>
                                        </w:rPr>
                                        <w:t>*</w:t>
                                      </w:r>
                                    </w:p>
                                  </w:txbxContent>
                                </wps:txbx>
                                <wps:bodyPr rot="0" vert="horz" wrap="none" lIns="0" tIns="0" rIns="0" bIns="0" anchor="t" anchorCtr="0" upright="1">
                                  <a:spAutoFit/>
                                </wps:bodyPr>
                              </wps:wsp>
                              <wps:wsp>
                                <wps:cNvPr id="130" name="Rectangle 18"/>
                                <wps:cNvSpPr>
                                  <a:spLocks noChangeArrowheads="1"/>
                                </wps:cNvSpPr>
                                <wps:spPr bwMode="auto">
                                  <a:xfrm>
                                    <a:off x="3656"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3540A0">
                                      <w:r>
                                        <w:rPr>
                                          <w:rFonts w:ascii="Times" w:hAnsi="Times" w:cs="Times"/>
                                          <w:color w:val="000000"/>
                                          <w:sz w:val="24"/>
                                          <w:szCs w:val="24"/>
                                          <w:lang w:val="en-US"/>
                                        </w:rPr>
                                        <w:t>10</w:t>
                                      </w:r>
                                    </w:p>
                                  </w:txbxContent>
                                </wps:txbx>
                                <wps:bodyPr rot="0" vert="horz" wrap="none" lIns="0" tIns="0" rIns="0" bIns="0" anchor="t" anchorCtr="0" upright="1">
                                  <a:spAutoFit/>
                                </wps:bodyPr>
                              </wps:wsp>
                              <wps:wsp>
                                <wps:cNvPr id="131" name="Rectangle 19"/>
                                <wps:cNvSpPr>
                                  <a:spLocks noChangeArrowheads="1"/>
                                </wps:cNvSpPr>
                                <wps:spPr bwMode="auto">
                                  <a:xfrm>
                                    <a:off x="3916" y="38"/>
                                    <a:ext cx="34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E03A8E" w:rsidRDefault="00AB5450" w:rsidP="003540A0">
                                      <w:pPr>
                                        <w:rPr>
                                          <w:rFonts w:ascii="Times" w:hAnsi="Times" w:cs="Times"/>
                                          <w:i/>
                                          <w:iCs/>
                                          <w:color w:val="000000"/>
                                          <w:sz w:val="14"/>
                                          <w:szCs w:val="14"/>
                                          <w:lang w:val="en-US"/>
                                        </w:rPr>
                                      </w:pPr>
                                      <w:r>
                                        <w:rPr>
                                          <w:rFonts w:ascii="Times" w:hAnsi="Times" w:cs="Times"/>
                                          <w:i/>
                                          <w:iCs/>
                                          <w:color w:val="000000"/>
                                          <w:sz w:val="14"/>
                                          <w:szCs w:val="14"/>
                                          <w:lang w:val="en-US"/>
                                        </w:rPr>
                                        <w:t>pH</w:t>
                                      </w:r>
                                      <w:r w:rsidRPr="00E03A8E">
                                        <w:rPr>
                                          <w:rFonts w:ascii="Times" w:hAnsi="Times" w:cs="Times"/>
                                          <w:i/>
                                          <w:iCs/>
                                          <w:color w:val="000000"/>
                                          <w:sz w:val="14"/>
                                          <w:szCs w:val="14"/>
                                          <w:lang w:val="en-US"/>
                                        </w:rPr>
                                        <w:t>_р</w:t>
                                      </w:r>
                                    </w:p>
                                  </w:txbxContent>
                                </wps:txbx>
                                <wps:bodyPr rot="0" vert="horz" wrap="none" lIns="0" tIns="0" rIns="0" bIns="0" anchor="t" anchorCtr="0" upright="1">
                                  <a:spAutoFit/>
                                </wps:bodyPr>
                              </wps:wsp>
                              <wps:wsp>
                                <wps:cNvPr id="132" name="Rectangle 20"/>
                                <wps:cNvSpPr>
                                  <a:spLocks noChangeArrowheads="1"/>
                                </wps:cNvSpPr>
                                <wps:spPr bwMode="auto">
                                  <a:xfrm>
                                    <a:off x="2719" y="367"/>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3540A0">
                                      <w:r>
                                        <w:rPr>
                                          <w:rFonts w:ascii="Symbol" w:hAnsi="Symbol" w:cs="Symbol"/>
                                          <w:color w:val="000000"/>
                                          <w:sz w:val="24"/>
                                          <w:szCs w:val="24"/>
                                          <w:lang w:val="en-US"/>
                                        </w:rPr>
                                        <w:t></w:t>
                                      </w:r>
                                    </w:p>
                                  </w:txbxContent>
                                </wps:txbx>
                                <wps:bodyPr rot="0" vert="horz" wrap="none" lIns="0" tIns="0" rIns="0" bIns="0" anchor="t" anchorCtr="0" upright="1">
                                  <a:spAutoFit/>
                                </wps:bodyPr>
                              </wps:wsp>
                              <wps:wsp>
                                <wps:cNvPr id="133" name="Line 21"/>
                                <wps:cNvCnPr>
                                  <a:cxnSpLocks noChangeShapeType="1"/>
                                </wps:cNvCnPr>
                                <wps:spPr bwMode="auto">
                                  <a:xfrm>
                                    <a:off x="1517" y="365"/>
                                    <a:ext cx="2711" cy="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22"/>
                                <wps:cNvSpPr>
                                  <a:spLocks noChangeArrowheads="1"/>
                                </wps:cNvSpPr>
                                <wps:spPr bwMode="auto">
                                  <a:xfrm>
                                    <a:off x="1427"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3540A0">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35" name="Rectangle 23"/>
                                <wps:cNvSpPr>
                                  <a:spLocks noChangeArrowheads="1"/>
                                </wps:cNvSpPr>
                                <wps:spPr bwMode="auto">
                                  <a:xfrm>
                                    <a:off x="1427"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3540A0">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36" name="Rectangle 24"/>
                                <wps:cNvSpPr>
                                  <a:spLocks noChangeArrowheads="1"/>
                                </wps:cNvSpPr>
                                <wps:spPr bwMode="auto">
                                  <a:xfrm>
                                    <a:off x="1427"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3540A0">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37" name="Rectangle 25"/>
                                <wps:cNvSpPr>
                                  <a:spLocks noChangeArrowheads="1"/>
                                </wps:cNvSpPr>
                                <wps:spPr bwMode="auto">
                                  <a:xfrm>
                                    <a:off x="4215"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3540A0">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38" name="Rectangle 26"/>
                                <wps:cNvSpPr>
                                  <a:spLocks noChangeArrowheads="1"/>
                                </wps:cNvSpPr>
                                <wps:spPr bwMode="auto">
                                  <a:xfrm>
                                    <a:off x="4215"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3540A0">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39" name="Rectangle 27"/>
                                <wps:cNvSpPr>
                                  <a:spLocks noChangeArrowheads="1"/>
                                </wps:cNvSpPr>
                                <wps:spPr bwMode="auto">
                                  <a:xfrm>
                                    <a:off x="4215"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3540A0">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40" name="Rectangle 28"/>
                                <wps:cNvSpPr>
                                  <a:spLocks noChangeArrowheads="1"/>
                                </wps:cNvSpPr>
                                <wps:spPr bwMode="auto">
                                  <a:xfrm>
                                    <a:off x="2941" y="380"/>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D6160C" w:rsidRDefault="00AB5450" w:rsidP="003540A0">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wps:txbx>
                                <wps:bodyPr rot="0" vert="horz" wrap="none" lIns="0" tIns="0" rIns="0" bIns="0" anchor="t" anchorCtr="0" upright="1">
                                  <a:noAutofit/>
                                </wps:bodyPr>
                              </wps:wsp>
                              <wps:wsp>
                                <wps:cNvPr id="141" name="Rectangle 29"/>
                                <wps:cNvSpPr>
                                  <a:spLocks noChangeArrowheads="1"/>
                                </wps:cNvSpPr>
                                <wps:spPr bwMode="auto">
                                  <a:xfrm>
                                    <a:off x="2212" y="379"/>
                                    <a:ext cx="47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E03A8E" w:rsidRDefault="00AB5450" w:rsidP="003540A0">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wps:txbx>
                                <wps:bodyPr rot="0" vert="horz" wrap="none" lIns="0" tIns="0" rIns="0" bIns="0" anchor="t" anchorCtr="0" upright="1">
                                  <a:noAutofit/>
                                </wps:bodyPr>
                              </wps:wsp>
                            </wpg:wgp>
                          </wpc:wpc>
                        </a:graphicData>
                      </a:graphic>
                    </wp:inline>
                  </w:drawing>
                </mc:Choice>
                <mc:Fallback>
                  <w:pict>
                    <v:group id="Платно 5" o:spid="_x0000_s1026" editas="canvas" style="width:327.5pt;height:64.1pt;mso-position-horizontal-relative:char;mso-position-vertical-relative:line" coordsize="41592,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592;height:8140;visibility:visible;mso-wrap-style:square">
                        <v:fill o:detectmouseclick="t"/>
                        <v:path o:connecttype="none"/>
                      </v:shape>
                      <v:group id="Group 7" o:spid="_x0000_s1028" style="position:absolute;left:11880;top:1212;width:27356;height:4903" coordorigin="60,-25" coordsize="430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8" o:spid="_x0000_s1029" style="position:absolute;left:60;top:208;width:816;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AB5450" w:rsidRDefault="00AB5450" w:rsidP="003540A0">
                                <w:r>
                                  <w:rPr>
                                    <w:rFonts w:ascii="Times" w:hAnsi="Times" w:cs="Times"/>
                                    <w:i/>
                                    <w:iCs/>
                                    <w:color w:val="000000"/>
                                    <w:sz w:val="24"/>
                                    <w:szCs w:val="24"/>
                                    <w:lang w:val="en-US"/>
                                  </w:rPr>
                                  <w:t>pHriver</w:t>
                                </w:r>
                              </w:p>
                            </w:txbxContent>
                          </v:textbox>
                        </v:rect>
                        <v:rect id="Rectangle 9" o:spid="_x0000_s1030" style="position:absolute;left:876;top:180;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AB5450" w:rsidRDefault="00AB5450" w:rsidP="003540A0">
                                <w:r>
                                  <w:rPr>
                                    <w:rFonts w:ascii="Symbol" w:hAnsi="Symbol" w:cs="Symbol"/>
                                    <w:color w:val="000000"/>
                                    <w:sz w:val="24"/>
                                    <w:szCs w:val="24"/>
                                    <w:lang w:val="en-US"/>
                                  </w:rPr>
                                  <w:t></w:t>
                                </w:r>
                              </w:p>
                            </w:txbxContent>
                          </v:textbox>
                        </v:rect>
                        <v:rect id="Rectangle 10" o:spid="_x0000_s1031" style="position:absolute;left:1067;top:208;width:43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AB5450" w:rsidRDefault="00AB5450" w:rsidP="003540A0">
                                <w:r>
                                  <w:rPr>
                                    <w:rFonts w:ascii="Times" w:hAnsi="Times" w:cs="Times"/>
                                    <w:i/>
                                    <w:iCs/>
                                    <w:color w:val="000000"/>
                                    <w:sz w:val="24"/>
                                    <w:szCs w:val="24"/>
                                    <w:lang w:val="en-US"/>
                                  </w:rPr>
                                  <w:t>Log</w:t>
                                </w:r>
                              </w:p>
                            </w:txbxContent>
                          </v:textbox>
                        </v:rect>
                        <v:rect id="Rectangle 11" o:spid="_x0000_s1032" style="position:absolute;left:1527;top:56;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Ro8QA&#10;AADbAAAADwAAAGRycy9kb3ducmV2LnhtbESPUWvCMBSF3wX/Q7jC3jTtGLJ2xlIHwyH4oNsPuDR3&#10;TbW5qUmm3b83g8EeD+ec73BW1Wh7cSUfOscK8kUGgrhxuuNWwefH2/wZRIjIGnvHpOCHAlTr6WSF&#10;pXY3PtD1GFuRIBxKVGBiHEopQ2PIYli4gTh5X85bjEn6VmqPtwS3vXzMsqW02HFaMDjQq6HmfPy2&#10;CmizPRSnOpi99HnI97tl8bS9KPUwG+sXEJHG+B/+a79rBUUOv1/S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IUaPEAAAA2wAAAA8AAAAAAAAAAAAAAAAAmAIAAGRycy9k&#10;b3ducmV2LnhtbFBLBQYAAAAABAAEAPUAAACJAwAAAAA=&#10;" filled="f" stroked="f">
                          <v:textbox inset="0,0,0,0">
                            <w:txbxContent>
                              <w:p w:rsidR="00AB5450" w:rsidRPr="00D6160C" w:rsidRDefault="00AB5450" w:rsidP="003540A0">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12" o:spid="_x0000_s1033" style="position:absolute;left:2104;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AB5450" w:rsidRDefault="00AB5450" w:rsidP="003540A0">
                                <w:r>
                                  <w:rPr>
                                    <w:rFonts w:ascii="Times" w:hAnsi="Times" w:cs="Times"/>
                                    <w:color w:val="000000"/>
                                    <w:sz w:val="24"/>
                                    <w:szCs w:val="24"/>
                                    <w:lang w:val="en-US"/>
                                  </w:rPr>
                                  <w:t>*</w:t>
                                </w:r>
                              </w:p>
                            </w:txbxContent>
                          </v:textbox>
                        </v:rect>
                        <v:rect id="Rectangle 13" o:spid="_x0000_s1034" style="position:absolute;left:2234;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AB5450" w:rsidRDefault="00AB5450" w:rsidP="003540A0">
                                <w:r>
                                  <w:rPr>
                                    <w:rFonts w:ascii="Times" w:hAnsi="Times" w:cs="Times"/>
                                    <w:color w:val="000000"/>
                                    <w:sz w:val="24"/>
                                    <w:szCs w:val="24"/>
                                    <w:lang w:val="en-US"/>
                                  </w:rPr>
                                  <w:t>10</w:t>
                                </w:r>
                              </w:p>
                            </w:txbxContent>
                          </v:textbox>
                        </v:rect>
                        <v:rect id="Rectangle 14" o:spid="_x0000_s1035" style="position:absolute;left:2494;top:38;width:405;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AB5450" w:rsidRDefault="00AB5450" w:rsidP="003540A0">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
                            </w:txbxContent>
                          </v:textbox>
                        </v:rect>
                        <v:rect id="Rectangle 15" o:spid="_x0000_s1036" style="position:absolute;left:2895;top:28;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AB5450" w:rsidRDefault="00AB5450" w:rsidP="003540A0">
                                <w:r>
                                  <w:rPr>
                                    <w:rFonts w:ascii="Symbol" w:hAnsi="Symbol" w:cs="Symbol"/>
                                    <w:color w:val="000000"/>
                                    <w:sz w:val="24"/>
                                    <w:szCs w:val="24"/>
                                    <w:lang w:val="en-US"/>
                                  </w:rPr>
                                  <w:t></w:t>
                                </w:r>
                              </w:p>
                            </w:txbxContent>
                          </v:textbox>
                        </v:rect>
                        <v:rect id="Rectangle 16" o:spid="_x0000_s1037" style="position:absolute;left:3102;top:49;width:47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AB5450" w:rsidRPr="00E03A8E" w:rsidRDefault="00AB5450" w:rsidP="003540A0">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rect id="Rectangle 17" o:spid="_x0000_s1038" style="position:absolute;left:3536;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AB5450" w:rsidRDefault="00AB5450" w:rsidP="003540A0">
                                <w:r>
                                  <w:rPr>
                                    <w:rFonts w:ascii="Times" w:hAnsi="Times" w:cs="Times"/>
                                    <w:color w:val="000000"/>
                                    <w:sz w:val="24"/>
                                    <w:szCs w:val="24"/>
                                    <w:lang w:val="en-US"/>
                                  </w:rPr>
                                  <w:t>*</w:t>
                                </w:r>
                              </w:p>
                            </w:txbxContent>
                          </v:textbox>
                        </v:rect>
                        <v:rect id="Rectangle 18" o:spid="_x0000_s1039" style="position:absolute;left:3656;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AB5450" w:rsidRDefault="00AB5450" w:rsidP="003540A0">
                                <w:r>
                                  <w:rPr>
                                    <w:rFonts w:ascii="Times" w:hAnsi="Times" w:cs="Times"/>
                                    <w:color w:val="000000"/>
                                    <w:sz w:val="24"/>
                                    <w:szCs w:val="24"/>
                                    <w:lang w:val="en-US"/>
                                  </w:rPr>
                                  <w:t>10</w:t>
                                </w:r>
                              </w:p>
                            </w:txbxContent>
                          </v:textbox>
                        </v:rect>
                        <v:rect id="Rectangle 19" o:spid="_x0000_s1040" style="position:absolute;left:3916;top:38;width:344;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AB5450" w:rsidRPr="00E03A8E" w:rsidRDefault="00AB5450" w:rsidP="003540A0">
                                <w:pPr>
                                  <w:rPr>
                                    <w:rFonts w:ascii="Times" w:hAnsi="Times" w:cs="Times"/>
                                    <w:i/>
                                    <w:iCs/>
                                    <w:color w:val="000000"/>
                                    <w:sz w:val="14"/>
                                    <w:szCs w:val="14"/>
                                    <w:lang w:val="en-US"/>
                                  </w:rPr>
                                </w:pPr>
                                <w:r>
                                  <w:rPr>
                                    <w:rFonts w:ascii="Times" w:hAnsi="Times" w:cs="Times"/>
                                    <w:i/>
                                    <w:iCs/>
                                    <w:color w:val="000000"/>
                                    <w:sz w:val="14"/>
                                    <w:szCs w:val="14"/>
                                    <w:lang w:val="en-US"/>
                                  </w:rPr>
                                  <w:t>pH</w:t>
                                </w:r>
                                <w:r w:rsidRPr="00E03A8E">
                                  <w:rPr>
                                    <w:rFonts w:ascii="Times" w:hAnsi="Times" w:cs="Times"/>
                                    <w:i/>
                                    <w:iCs/>
                                    <w:color w:val="000000"/>
                                    <w:sz w:val="14"/>
                                    <w:szCs w:val="14"/>
                                    <w:lang w:val="en-US"/>
                                  </w:rPr>
                                  <w:t>_р</w:t>
                                </w:r>
                              </w:p>
                            </w:txbxContent>
                          </v:textbox>
                        </v:rect>
                        <v:rect id="Rectangle 20" o:spid="_x0000_s1041" style="position:absolute;left:2719;top:367;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AB5450" w:rsidRDefault="00AB5450" w:rsidP="003540A0">
                                <w:r>
                                  <w:rPr>
                                    <w:rFonts w:ascii="Symbol" w:hAnsi="Symbol" w:cs="Symbol"/>
                                    <w:color w:val="000000"/>
                                    <w:sz w:val="24"/>
                                    <w:szCs w:val="24"/>
                                    <w:lang w:val="en-US"/>
                                  </w:rPr>
                                  <w:t></w:t>
                                </w:r>
                              </w:p>
                            </w:txbxContent>
                          </v:textbox>
                        </v:rect>
                        <v:line id="Line 21" o:spid="_x0000_s1042" style="position:absolute;visibility:visible;mso-wrap-style:square" from="1517,365" to="422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Jb7sIAAADcAAAADwAAAGRycy9kb3ducmV2LnhtbERPTWvCQBC9F/wPywje6sYKVVJXEWkx&#10;PZrk4m2aHZNgdjbsbjX113cFwds83uesNoPpxIWcby0rmE0TEMSV1S3XCsri63UJwgdkjZ1lUvBH&#10;Hjbr0csKU22vfKBLHmoRQ9inqKAJoU+l9FVDBv3U9sSRO1lnMEToaqkdXmO46eRbkrxLgy3HhgZ7&#10;2jVUnfNfo+CWFZ/lMdsffsrbsfi2uXeL01KpyXjYfoAINISn+OHOdJw/n8P9mXi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Jb7sIAAADcAAAADwAAAAAAAAAAAAAA&#10;AAChAgAAZHJzL2Rvd25yZXYueG1sUEsFBgAAAAAEAAQA+QAAAJADAAAAAA==&#10;" strokeweight="28e-5mm"/>
                        <v:rect id="Rectangle 22" o:spid="_x0000_s1043" style="position:absolute;left:1427;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AB5450" w:rsidRDefault="00AB5450" w:rsidP="003540A0">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23" o:spid="_x0000_s1044" style="position:absolute;left:1427;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AB5450" w:rsidRDefault="00AB5450" w:rsidP="003540A0">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24" o:spid="_x0000_s1045" style="position:absolute;left:1427;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AB5450" w:rsidRDefault="00AB5450" w:rsidP="003540A0">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25" o:spid="_x0000_s1046" style="position:absolute;left:4215;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AB5450" w:rsidRDefault="00AB5450" w:rsidP="003540A0">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26" o:spid="_x0000_s1047" style="position:absolute;left:4215;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AB5450" w:rsidRDefault="00AB5450" w:rsidP="003540A0">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27" o:spid="_x0000_s1048" style="position:absolute;left:4215;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AB5450" w:rsidRDefault="00AB5450" w:rsidP="003540A0">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28" o:spid="_x0000_s1049" style="position:absolute;left:2941;top:380;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WJDsUA&#10;AADcAAAADwAAAGRycy9kb3ducmV2LnhtbESP3WoCMRCF7wt9hzAF72p2i0jdGsUWiiJ44c8DDJvp&#10;ZtvNZJukur69cyH0boZz5pxv5svBd+pMMbWBDZTjAhRxHWzLjYHT8fP5FVTKyBa7wGTgSgmWi8eH&#10;OVY2XHhP50NulIRwqtCAy7mvtE61I49pHHpi0b5C9JhljY22ES8S7jv9UhRT7bFlaXDY04ej+ufw&#10;5w3Q+3o/+14lt9OxTOVuO51N1r/GjJ6G1RuoTEP+N9+vN1bwJ4Ivz8gE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YkOxQAAANwAAAAPAAAAAAAAAAAAAAAAAJgCAABkcnMv&#10;ZG93bnJldi54bWxQSwUGAAAAAAQABAD1AAAAigMAAAAA&#10;" filled="f" stroked="f">
                          <v:textbox inset="0,0,0,0">
                            <w:txbxContent>
                              <w:p w:rsidR="00AB5450" w:rsidRPr="00D6160C" w:rsidRDefault="00AB5450" w:rsidP="003540A0">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29" o:spid="_x0000_s1050" style="position:absolute;left:2212;top:379;width:470;height:3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kslcEA&#10;AADcAAAADwAAAGRycy9kb3ducmV2LnhtbERP22oCMRB9L/gPYQTfanaLSF2NooWiFHzw8gHDZtys&#10;bibbJOr6940g9G0O5zqzRWcbcSMfascK8mEGgrh0uuZKwfHw/f4JIkRkjY1jUvCgAIt5722GhXZ3&#10;3tFtHyuRQjgUqMDE2BZShtKQxTB0LXHiTs5bjAn6SmqP9xRuG/mRZWNpsebUYLClL0PlZX+1Cmi1&#10;3k3Oy2C20uch3/6MJ6P1r1KDfrecgojUxX/xy73Raf4oh+cz6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ZLJXBAAAA3AAAAA8AAAAAAAAAAAAAAAAAmAIAAGRycy9kb3du&#10;cmV2LnhtbFBLBQYAAAAABAAEAPUAAACGAwAAAAA=&#10;" filled="f" stroked="f">
                          <v:textbox inset="0,0,0,0">
                            <w:txbxContent>
                              <w:p w:rsidR="00AB5450" w:rsidRPr="00E03A8E" w:rsidRDefault="00AB5450" w:rsidP="003540A0">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group>
                      <w10:anchorlock/>
                    </v:group>
                  </w:pict>
                </mc:Fallback>
              </mc:AlternateContent>
            </w:r>
            <w:r w:rsidR="008D6E9B" w:rsidRPr="00703017">
              <w:rPr>
                <w:rFonts w:ascii="Times New Roman" w:hAnsi="Times New Roman" w:cs="Times New Roman"/>
                <w:i/>
                <w:iCs/>
                <w:position w:val="-48"/>
                <w:lang w:val="bg-BG"/>
              </w:rPr>
              <w:t>(Eq 1)</w:t>
            </w:r>
          </w:p>
          <w:p w:rsidR="008D6E9B" w:rsidRPr="00703017" w:rsidRDefault="008D6E9B" w:rsidP="009D4C75">
            <w:pPr>
              <w:tabs>
                <w:tab w:val="left" w:pos="1701"/>
              </w:tabs>
              <w:spacing w:before="60" w:after="60" w:line="240" w:lineRule="auto"/>
              <w:ind w:left="720"/>
              <w:jc w:val="both"/>
              <w:rPr>
                <w:rFonts w:ascii="Arial" w:hAnsi="Arial" w:cs="Arial"/>
                <w:sz w:val="16"/>
                <w:szCs w:val="16"/>
                <w:lang w:val="bg-BG" w:eastAsia="de-DE"/>
              </w:rPr>
            </w:pPr>
            <w:r w:rsidRPr="00703017">
              <w:rPr>
                <w:rFonts w:ascii="Arial" w:hAnsi="Arial" w:cs="Arial"/>
                <w:sz w:val="16"/>
                <w:szCs w:val="16"/>
                <w:lang w:val="bg-BG"/>
              </w:rPr>
              <w:t>Където:</w:t>
            </w:r>
          </w:p>
          <w:p w:rsidR="008D6E9B" w:rsidRPr="00703017" w:rsidRDefault="008D6E9B" w:rsidP="009D4C75">
            <w:pPr>
              <w:tabs>
                <w:tab w:val="left" w:pos="1701"/>
              </w:tabs>
              <w:spacing w:before="60" w:after="60" w:line="240" w:lineRule="auto"/>
              <w:ind w:left="720"/>
              <w:jc w:val="both"/>
              <w:rPr>
                <w:rFonts w:ascii="Arial" w:hAnsi="Arial" w:cs="Arial"/>
                <w:sz w:val="16"/>
                <w:szCs w:val="16"/>
                <w:lang w:val="bg-BG" w:eastAsia="de-DE"/>
              </w:rPr>
            </w:pPr>
            <w:r w:rsidRPr="00703017">
              <w:rPr>
                <w:rFonts w:ascii="Arial" w:hAnsi="Arial" w:cs="Arial"/>
                <w:sz w:val="16"/>
                <w:szCs w:val="16"/>
                <w:lang w:val="bg-BG"/>
              </w:rPr>
              <w:t>Q_ов се отнася до отпадния поток (в m³/ден)</w:t>
            </w:r>
          </w:p>
          <w:p w:rsidR="008D6E9B" w:rsidRPr="00703017" w:rsidRDefault="008D6E9B" w:rsidP="009D4C75">
            <w:pPr>
              <w:tabs>
                <w:tab w:val="left" w:pos="1701"/>
              </w:tabs>
              <w:spacing w:before="60" w:after="60" w:line="240" w:lineRule="auto"/>
              <w:ind w:left="720"/>
              <w:jc w:val="both"/>
              <w:rPr>
                <w:rFonts w:ascii="Arial" w:hAnsi="Arial" w:cs="Arial"/>
                <w:sz w:val="16"/>
                <w:szCs w:val="16"/>
                <w:lang w:val="bg-BG" w:eastAsia="de-DE"/>
              </w:rPr>
            </w:pPr>
            <w:r w:rsidRPr="00703017">
              <w:rPr>
                <w:rFonts w:ascii="Arial" w:hAnsi="Arial" w:cs="Arial"/>
                <w:sz w:val="16"/>
                <w:szCs w:val="16"/>
                <w:lang w:val="bg-BG"/>
              </w:rPr>
              <w:t>Q_р се отнася до поток на реката нагоре по течението(в m³/ден)</w:t>
            </w:r>
          </w:p>
          <w:p w:rsidR="008D6E9B" w:rsidRPr="00703017" w:rsidRDefault="008D6E9B" w:rsidP="009D4C75">
            <w:pPr>
              <w:tabs>
                <w:tab w:val="left" w:pos="1701"/>
              </w:tabs>
              <w:spacing w:before="60" w:after="60" w:line="240" w:lineRule="auto"/>
              <w:ind w:left="720"/>
              <w:jc w:val="both"/>
              <w:rPr>
                <w:rFonts w:ascii="Arial" w:hAnsi="Arial" w:cs="Arial"/>
                <w:sz w:val="16"/>
                <w:szCs w:val="16"/>
                <w:lang w:val="bg-BG" w:eastAsia="de-DE"/>
              </w:rPr>
            </w:pPr>
            <w:r w:rsidRPr="00703017">
              <w:rPr>
                <w:rFonts w:ascii="Arial" w:hAnsi="Arial" w:cs="Arial"/>
                <w:sz w:val="16"/>
                <w:szCs w:val="16"/>
                <w:lang w:val="bg-BG"/>
              </w:rPr>
              <w:t>pH_ов се отнася до pH на отпадните води</w:t>
            </w:r>
          </w:p>
          <w:p w:rsidR="008D6E9B" w:rsidRPr="00703017" w:rsidRDefault="008D6E9B" w:rsidP="009D4C75">
            <w:pPr>
              <w:tabs>
                <w:tab w:val="left" w:pos="1701"/>
              </w:tabs>
              <w:spacing w:before="60" w:after="60" w:line="240" w:lineRule="auto"/>
              <w:ind w:left="720"/>
              <w:jc w:val="both"/>
              <w:rPr>
                <w:rFonts w:ascii="Arial" w:hAnsi="Arial" w:cs="Arial"/>
                <w:sz w:val="16"/>
                <w:szCs w:val="16"/>
                <w:lang w:val="bg-BG" w:eastAsia="de-DE"/>
              </w:rPr>
            </w:pPr>
            <w:r w:rsidRPr="00703017">
              <w:rPr>
                <w:rFonts w:ascii="Arial" w:hAnsi="Arial" w:cs="Arial"/>
                <w:sz w:val="16"/>
                <w:szCs w:val="16"/>
                <w:lang w:val="bg-BG"/>
              </w:rPr>
              <w:t>pH_р се отнася до pH на реката, нагоре по течението от точката на заустване</w:t>
            </w:r>
          </w:p>
          <w:p w:rsidR="008D6E9B" w:rsidRPr="00703017" w:rsidRDefault="008D6E9B" w:rsidP="009D4C75">
            <w:pPr>
              <w:tabs>
                <w:tab w:val="left" w:pos="1701"/>
              </w:tabs>
              <w:spacing w:before="60" w:after="60" w:line="240" w:lineRule="auto"/>
              <w:ind w:left="720"/>
              <w:jc w:val="both"/>
              <w:rPr>
                <w:rFonts w:ascii="Arial" w:hAnsi="Arial" w:cs="Arial"/>
                <w:sz w:val="16"/>
                <w:szCs w:val="16"/>
                <w:lang w:val="bg-BG" w:eastAsia="de-DE"/>
              </w:rPr>
            </w:pPr>
            <w:r w:rsidRPr="00703017">
              <w:rPr>
                <w:rFonts w:ascii="Arial" w:hAnsi="Arial" w:cs="Arial"/>
                <w:sz w:val="16"/>
                <w:szCs w:val="16"/>
                <w:lang w:val="bg-BG"/>
              </w:rPr>
              <w:t>Моля обърнете внимание, че първоначално могат да се използват стойности по презумпция:</w:t>
            </w:r>
          </w:p>
          <w:p w:rsidR="008D6E9B" w:rsidRPr="00703017" w:rsidRDefault="008D6E9B"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3017">
              <w:rPr>
                <w:rFonts w:ascii="Arial" w:hAnsi="Arial" w:cs="Arial"/>
                <w:sz w:val="16"/>
                <w:szCs w:val="16"/>
                <w:lang w:val="bg-BG"/>
              </w:rPr>
              <w:t>Q-р нагоре по течението: използвайте 1/10 от дистрибуцията по съществуващите измервания или по презумпция стойността 18</w:t>
            </w:r>
            <w:r w:rsidRPr="004603B7">
              <w:rPr>
                <w:rFonts w:ascii="Arial" w:hAnsi="Arial" w:cs="Arial"/>
                <w:sz w:val="16"/>
                <w:szCs w:val="16"/>
                <w:lang w:val="bg-BG"/>
              </w:rPr>
              <w:t xml:space="preserve"> </w:t>
            </w:r>
            <w:r w:rsidRPr="00703017">
              <w:rPr>
                <w:rFonts w:ascii="Arial" w:hAnsi="Arial" w:cs="Arial"/>
                <w:sz w:val="16"/>
                <w:szCs w:val="16"/>
                <w:lang w:val="bg-BG"/>
              </w:rPr>
              <w:t>000 m³/ден</w:t>
            </w:r>
          </w:p>
          <w:p w:rsidR="008D6E9B" w:rsidRPr="00703017" w:rsidRDefault="008D6E9B"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3017">
              <w:rPr>
                <w:rFonts w:ascii="Arial" w:hAnsi="Arial" w:cs="Arial"/>
                <w:sz w:val="16"/>
                <w:szCs w:val="16"/>
                <w:lang w:val="bg-BG"/>
              </w:rPr>
              <w:t>Q_ов: използвайте по презумпция стойността 2000 m³/ден</w:t>
            </w:r>
          </w:p>
          <w:p w:rsidR="008D6E9B" w:rsidRPr="00703017" w:rsidRDefault="008D6E9B"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3017">
              <w:rPr>
                <w:rFonts w:ascii="Arial" w:hAnsi="Arial" w:cs="Arial"/>
                <w:sz w:val="16"/>
                <w:szCs w:val="16"/>
                <w:lang w:val="bg-BG"/>
              </w:rPr>
              <w:lastRenderedPageBreak/>
              <w:t>pH_р за предпочитане се измерва. Ако няма измервания, приемете неутрално pH = 7, ако това е оправдано.</w:t>
            </w:r>
          </w:p>
          <w:p w:rsidR="008D6E9B" w:rsidRPr="002E283F" w:rsidRDefault="008D6E9B" w:rsidP="009D4C75">
            <w:pPr>
              <w:tabs>
                <w:tab w:val="left" w:pos="1701"/>
              </w:tabs>
              <w:spacing w:before="60" w:after="60" w:line="240" w:lineRule="auto"/>
              <w:jc w:val="both"/>
              <w:rPr>
                <w:rFonts w:ascii="Arial" w:hAnsi="Arial" w:cs="Arial"/>
                <w:sz w:val="16"/>
                <w:szCs w:val="16"/>
                <w:lang w:val="bg-BG"/>
              </w:rPr>
            </w:pPr>
          </w:p>
          <w:p w:rsidR="008D6E9B" w:rsidRPr="00703017" w:rsidRDefault="008D6E9B" w:rsidP="009D4C75">
            <w:pPr>
              <w:tabs>
                <w:tab w:val="left" w:pos="1701"/>
              </w:tabs>
              <w:spacing w:before="60" w:after="60" w:line="240" w:lineRule="auto"/>
              <w:jc w:val="both"/>
              <w:rPr>
                <w:rFonts w:ascii="Arial" w:hAnsi="Arial" w:cs="Arial"/>
                <w:sz w:val="16"/>
                <w:szCs w:val="16"/>
                <w:lang w:val="bg-BG" w:eastAsia="de-DE"/>
              </w:rPr>
            </w:pPr>
            <w:r w:rsidRPr="00703017">
              <w:rPr>
                <w:rFonts w:ascii="Arial" w:hAnsi="Arial" w:cs="Arial"/>
                <w:sz w:val="16"/>
                <w:szCs w:val="16"/>
                <w:lang w:val="bg-BG"/>
              </w:rPr>
              <w:t>Такъв вид изчисления трябва да се разглеждат като най-лош сценарий, когато водните условия са стандартни и в случая няма нищо специфично.</w:t>
            </w:r>
          </w:p>
          <w:p w:rsidR="008D6E9B" w:rsidRPr="00703017" w:rsidRDefault="008D6E9B" w:rsidP="009D4C75">
            <w:pPr>
              <w:tabs>
                <w:tab w:val="left" w:pos="1701"/>
              </w:tabs>
              <w:spacing w:before="60" w:after="60" w:line="240" w:lineRule="auto"/>
              <w:jc w:val="both"/>
              <w:rPr>
                <w:rFonts w:ascii="Arial" w:hAnsi="Arial" w:cs="Arial"/>
                <w:sz w:val="16"/>
                <w:szCs w:val="16"/>
                <w:lang w:val="bg-BG" w:eastAsia="de-DE"/>
              </w:rPr>
            </w:pPr>
          </w:p>
          <w:p w:rsidR="008D6E9B" w:rsidRPr="00703017" w:rsidRDefault="008D6E9B" w:rsidP="009D4C75">
            <w:pPr>
              <w:tabs>
                <w:tab w:val="left" w:pos="1701"/>
              </w:tabs>
              <w:spacing w:before="60" w:after="60" w:line="240" w:lineRule="auto"/>
              <w:jc w:val="both"/>
              <w:rPr>
                <w:rFonts w:ascii="Arial" w:hAnsi="Arial" w:cs="Arial"/>
                <w:sz w:val="16"/>
                <w:szCs w:val="16"/>
                <w:lang w:val="bg-BG" w:eastAsia="de-DE"/>
              </w:rPr>
            </w:pPr>
            <w:r w:rsidRPr="00703017">
              <w:rPr>
                <w:rFonts w:ascii="Arial" w:hAnsi="Arial" w:cs="Arial"/>
                <w:b/>
                <w:bCs/>
                <w:sz w:val="16"/>
                <w:szCs w:val="16"/>
                <w:lang w:val="bg-BG"/>
              </w:rPr>
              <w:t>Ред 2б</w:t>
            </w:r>
            <w:r w:rsidRPr="00703017">
              <w:rPr>
                <w:rFonts w:ascii="Arial" w:hAnsi="Arial" w:cs="Arial"/>
                <w:sz w:val="16"/>
                <w:szCs w:val="16"/>
                <w:lang w:val="bg-BG"/>
              </w:rPr>
              <w:t>: Изчисление 1 (Eq 1) може де се използва за определяне на това, кой pH на обратните води до непоносими нива на pH в приемника. За целта, pH на реката се прима за 9, а pH на отходните води съответно се изчислява (с използването на стойностите по презумпция, както бе показано по-горе, ако това се налага). Тъй като температурата оказва влияние на разтворимостта на варта, pH на отходните води може да се наложи да се наглася според случая. След като се установи максималната допустима стойност на pH в отходните води, се приема че всички концентрации на OH се дължат на изпускане на вар и не съществуват условия на буферен капацитет, които заслужават внимание (това е един нереалистичен най-лош сценарий, който може да бъде усъвършенстван при наличие на някаква допълнителна информация). Максималното количество вар, което може да бъде изпуснато годишно, без това отрицателно да повлияе стойностите на pH в приемащите води се изчислява, като се приеме наличието на химическо равновесие. OH, изразено в молове/литри, се умножава по средния поток на отпадните води и след това се дели на моларната маса на варовото вещество.</w:t>
            </w:r>
          </w:p>
          <w:p w:rsidR="008D6E9B" w:rsidRPr="00703017" w:rsidRDefault="008D6E9B" w:rsidP="009D4C75">
            <w:pPr>
              <w:tabs>
                <w:tab w:val="left" w:pos="1701"/>
              </w:tabs>
              <w:spacing w:before="60" w:after="60" w:line="240" w:lineRule="auto"/>
              <w:jc w:val="both"/>
              <w:rPr>
                <w:rFonts w:ascii="Arial" w:hAnsi="Arial" w:cs="Arial"/>
                <w:sz w:val="16"/>
                <w:szCs w:val="16"/>
                <w:lang w:val="bg-BG" w:eastAsia="de-DE"/>
              </w:rPr>
            </w:pPr>
            <w:r w:rsidRPr="00703017">
              <w:rPr>
                <w:rFonts w:ascii="Arial" w:hAnsi="Arial" w:cs="Arial"/>
                <w:b/>
                <w:bCs/>
                <w:sz w:val="16"/>
                <w:szCs w:val="16"/>
                <w:lang w:val="bg-BG"/>
              </w:rPr>
              <w:t>Ред 3</w:t>
            </w:r>
            <w:r w:rsidRPr="00703017">
              <w:rPr>
                <w:rFonts w:ascii="Arial" w:hAnsi="Arial" w:cs="Arial"/>
                <w:sz w:val="16"/>
                <w:szCs w:val="16"/>
                <w:lang w:val="bg-BG"/>
              </w:rPr>
              <w:t xml:space="preserve">: измерете pH на приемащите води след точката на </w:t>
            </w:r>
            <w:r w:rsidR="0014626D" w:rsidRPr="00703017">
              <w:rPr>
                <w:rFonts w:ascii="Arial" w:hAnsi="Arial" w:cs="Arial"/>
                <w:sz w:val="16"/>
                <w:szCs w:val="16"/>
                <w:lang w:val="bg-BG"/>
              </w:rPr>
              <w:t>заустявани</w:t>
            </w:r>
            <w:r w:rsidRPr="00703017">
              <w:rPr>
                <w:rFonts w:ascii="Arial" w:hAnsi="Arial" w:cs="Arial"/>
                <w:sz w:val="16"/>
                <w:szCs w:val="16"/>
                <w:lang w:val="bg-BG"/>
              </w:rPr>
              <w:t>. Ако pH е под 9, това разумно демонстрира безопасно ползване, с което ES приключва. Ако pH се окаже над 9, тогава се налага прилагане на мерки за управление на риска: отпадните води трябва да преминат през неутрализация, като с това се осигурява безопасно използване на варта във фазите на производство и потребление.</w:t>
            </w:r>
          </w:p>
          <w:p w:rsidR="008D6E9B" w:rsidRPr="00703017" w:rsidRDefault="001D5CEE" w:rsidP="009D4C75">
            <w:pPr>
              <w:tabs>
                <w:tab w:val="left" w:pos="1701"/>
              </w:tabs>
              <w:spacing w:before="60" w:after="60" w:line="240" w:lineRule="auto"/>
              <w:jc w:val="both"/>
              <w:rPr>
                <w:rFonts w:ascii="Arial" w:hAnsi="Arial" w:cs="Arial"/>
                <w:sz w:val="20"/>
                <w:szCs w:val="20"/>
                <w:lang w:val="bg-BG" w:eastAsia="de-DE"/>
              </w:rPr>
            </w:pPr>
            <w:r>
              <w:rPr>
                <w:rFonts w:ascii="Arial" w:hAnsi="Arial" w:cs="Arial"/>
                <w:noProof/>
                <w:sz w:val="20"/>
                <w:szCs w:val="20"/>
                <w:lang w:val="bg-BG" w:eastAsia="bg-BG"/>
              </w:rPr>
              <w:lastRenderedPageBreak/>
              <w:drawing>
                <wp:inline distT="0" distB="0" distL="0" distR="0">
                  <wp:extent cx="5000625" cy="7258050"/>
                  <wp:effectExtent l="0" t="0" r="9525" b="0"/>
                  <wp:docPr id="2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0625" cy="7258050"/>
                          </a:xfrm>
                          <a:prstGeom prst="rect">
                            <a:avLst/>
                          </a:prstGeom>
                          <a:noFill/>
                          <a:ln>
                            <a:noFill/>
                          </a:ln>
                        </pic:spPr>
                      </pic:pic>
                    </a:graphicData>
                  </a:graphic>
                </wp:inline>
              </w:drawing>
            </w:r>
          </w:p>
        </w:tc>
      </w:tr>
    </w:tbl>
    <w:p w:rsidR="008D6E9B" w:rsidRPr="00703017" w:rsidRDefault="008D6E9B" w:rsidP="00747C73">
      <w:pPr>
        <w:keepNext/>
        <w:pageBreakBefore/>
        <w:tabs>
          <w:tab w:val="left" w:pos="1418"/>
        </w:tabs>
        <w:spacing w:before="240" w:after="60"/>
        <w:outlineLvl w:val="1"/>
        <w:rPr>
          <w:rFonts w:ascii="Arial" w:hAnsi="Arial" w:cs="Arial"/>
          <w:b/>
          <w:bCs/>
          <w:sz w:val="28"/>
          <w:szCs w:val="28"/>
          <w:lang w:val="bg-BG"/>
        </w:rPr>
      </w:pPr>
      <w:bookmarkStart w:id="9" w:name="_Toc270425133"/>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2: Производство и промишлена употреба на низко прашни твърди/прахообразни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17"/>
        <w:gridCol w:w="2477"/>
        <w:gridCol w:w="1412"/>
        <w:gridCol w:w="864"/>
        <w:gridCol w:w="776"/>
        <w:gridCol w:w="2016"/>
      </w:tblGrid>
      <w:tr w:rsidR="008D6E9B" w:rsidRPr="0070774F">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D6E9B" w:rsidRPr="00703017">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D6E9B" w:rsidRPr="0070774F">
        <w:trPr>
          <w:trHeight w:val="315"/>
          <w:jc w:val="center"/>
        </w:trPr>
        <w:tc>
          <w:tcPr>
            <w:tcW w:w="0" w:type="auto"/>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5"/>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Производство и промишлена употреба на ниско запрашени твърди/прахообразни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D6E9B" w:rsidRPr="0070774F">
        <w:trPr>
          <w:trHeight w:val="1349"/>
          <w:jc w:val="center"/>
        </w:trPr>
        <w:tc>
          <w:tcPr>
            <w:tcW w:w="0" w:type="auto"/>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5"/>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SU3, SU1, SU2a, SU2b, SU4, SU5, SU6a, SU6b, SU7, SU8, SU9, SU10, SU11, SU12, SU13, SU14, SU15, SU16, SU17, SU18, SU19, SU20, SU23, SU24</w:t>
            </w:r>
            <w:r w:rsidRPr="00703017">
              <w:rPr>
                <w:lang w:val="bg-BG"/>
              </w:rPr>
              <w:br/>
            </w:r>
            <w:r w:rsidRPr="00703017">
              <w:rPr>
                <w:rFonts w:ascii="Arial" w:hAnsi="Arial" w:cs="Arial"/>
                <w:sz w:val="16"/>
                <w:szCs w:val="16"/>
                <w:lang w:val="bg-BG"/>
              </w:rPr>
              <w:t>PC1, PC2, PC3, PC7, PC8, PC9a, PC9b, PC11, PC12, PC13, PC14, PC15, PC16, PC17, PC18, PC19, PC20, PC21, PC23, PC24, PC25, PC26, PC27, PC28, PC29, PC30, PC31, PC32, PC33, PC34, PC35, PC36, PC37, PC38, PC39, PC40</w:t>
            </w:r>
            <w:r w:rsidRPr="00703017">
              <w:rPr>
                <w:lang w:val="bg-BG"/>
              </w:rPr>
              <w:br/>
            </w:r>
            <w:r w:rsidRPr="00703017">
              <w:rPr>
                <w:rFonts w:ascii="Arial" w:hAnsi="Arial" w:cs="Arial"/>
                <w:sz w:val="16"/>
                <w:szCs w:val="16"/>
                <w:lang w:val="bg-BG"/>
              </w:rPr>
              <w:t>AC1, AC2, AC3, AC4, AC5, AC6, AC7, AC8, AC10, AC11, AC13</w:t>
            </w:r>
          </w:p>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D6E9B" w:rsidRPr="0070774F">
        <w:trPr>
          <w:trHeight w:val="525"/>
          <w:jc w:val="center"/>
        </w:trPr>
        <w:tc>
          <w:tcPr>
            <w:tcW w:w="0" w:type="auto"/>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5"/>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D6E9B" w:rsidRPr="0070774F">
        <w:trPr>
          <w:trHeight w:val="444"/>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5"/>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w:t>
            </w:r>
          </w:p>
        </w:tc>
      </w:tr>
      <w:tr w:rsidR="008D6E9B" w:rsidRPr="0070774F">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D6E9B" w:rsidRPr="00703017">
        <w:trPr>
          <w:trHeight w:val="315"/>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PROC/ERC</w:t>
            </w:r>
          </w:p>
        </w:tc>
        <w:tc>
          <w:tcPr>
            <w:tcW w:w="4453" w:type="dxa"/>
            <w:gridSpan w:val="3"/>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3188" w:type="dxa"/>
            <w:gridSpan w:val="2"/>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w:t>
            </w:r>
          </w:p>
        </w:tc>
        <w:tc>
          <w:tcPr>
            <w:tcW w:w="4453" w:type="dxa"/>
            <w:gridSpan w:val="3"/>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процес, няма вероятност от експозиция</w:t>
            </w:r>
          </w:p>
        </w:tc>
        <w:tc>
          <w:tcPr>
            <w:tcW w:w="3188" w:type="dxa"/>
            <w:gridSpan w:val="2"/>
            <w:vMerge w:val="restart"/>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Повече информация е представена в Ръководството ECHA за информационните изисквания и оценка на безопасността на химичните вещаства, Глава R.12: Дескрипторна система на употребите (ECHA-2010-G-05-EN).</w:t>
            </w: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w:t>
            </w:r>
          </w:p>
        </w:tc>
        <w:tc>
          <w:tcPr>
            <w:tcW w:w="4453" w:type="dxa"/>
            <w:gridSpan w:val="3"/>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непрекъснат процес със случайно контролирана експозиция</w:t>
            </w:r>
          </w:p>
        </w:tc>
        <w:tc>
          <w:tcPr>
            <w:tcW w:w="3188" w:type="dxa"/>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3</w:t>
            </w:r>
          </w:p>
        </w:tc>
        <w:tc>
          <w:tcPr>
            <w:tcW w:w="4453" w:type="dxa"/>
            <w:gridSpan w:val="3"/>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периодичен процес (синтез или формулиране)</w:t>
            </w:r>
          </w:p>
        </w:tc>
        <w:tc>
          <w:tcPr>
            <w:tcW w:w="3188" w:type="dxa"/>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w:t>
            </w:r>
          </w:p>
        </w:tc>
        <w:tc>
          <w:tcPr>
            <w:tcW w:w="4453" w:type="dxa"/>
            <w:gridSpan w:val="3"/>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периодичен или друг процес (синтез), където се появява възможност за експозиция</w:t>
            </w:r>
          </w:p>
        </w:tc>
        <w:tc>
          <w:tcPr>
            <w:tcW w:w="3188" w:type="dxa"/>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5</w:t>
            </w:r>
          </w:p>
        </w:tc>
        <w:tc>
          <w:tcPr>
            <w:tcW w:w="4453" w:type="dxa"/>
            <w:gridSpan w:val="3"/>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Смесване или блендиране в периодичен процес за формулиране на препарати и изделия (многостепенен и/или значителен контакт)</w:t>
            </w:r>
          </w:p>
        </w:tc>
        <w:tc>
          <w:tcPr>
            <w:tcW w:w="3188" w:type="dxa"/>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6</w:t>
            </w:r>
          </w:p>
        </w:tc>
        <w:tc>
          <w:tcPr>
            <w:tcW w:w="4453" w:type="dxa"/>
            <w:gridSpan w:val="3"/>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Календиране (Операции по пресоване)</w:t>
            </w:r>
          </w:p>
        </w:tc>
        <w:tc>
          <w:tcPr>
            <w:tcW w:w="3188" w:type="dxa"/>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w:t>
            </w:r>
          </w:p>
        </w:tc>
        <w:tc>
          <w:tcPr>
            <w:tcW w:w="4453" w:type="dxa"/>
            <w:gridSpan w:val="3"/>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Пулверизиране в промишлена среда</w:t>
            </w:r>
          </w:p>
        </w:tc>
        <w:tc>
          <w:tcPr>
            <w:tcW w:w="3188" w:type="dxa"/>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8a</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общи съоръжения</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8b</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специални съоръжения</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9</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в малки контейнери (специална линия за пълнене, включително претегляне)</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10</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Нанасяне с валяк или с четка</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13</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Третиране на изделия при боядисване чрез потапяне и изливане</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14</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на препарати или изделия чрез таблетиране, компресия, екструдиране, пелетиране</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3017">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15</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лабораторни реагенти</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16</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материал като горивен източник, очаква се ограничена експозиция към неизгорял продукт</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Смазване при високо енергийни условия и в частично открит процес</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18</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Гресиране при високо енергийни условия</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Ръчно смесване с близък контакт и налични само ЛПС</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21</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Ниско енергийна манипулация на вещества, свързани в материали и/или изделия</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22</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Потенциално закрити обработващи операции с минерали/метали при повишена температура </w:t>
            </w:r>
            <w:r w:rsidRPr="00703017">
              <w:rPr>
                <w:lang w:val="bg-BG"/>
              </w:rPr>
              <w:br/>
            </w:r>
            <w:r w:rsidRPr="00703017">
              <w:rPr>
                <w:rFonts w:ascii="Arial" w:hAnsi="Arial" w:cs="Arial"/>
                <w:sz w:val="16"/>
                <w:szCs w:val="16"/>
                <w:lang w:val="bg-BG"/>
              </w:rPr>
              <w:t>Промишлена обстановка</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lastRenderedPageBreak/>
              <w:t>PROC 23</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Открита обработка и трансфер с минерали/метали при повишена температура</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24</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Висока (механична) енергия при обработване на вещества, свързани в материали и/или изделия</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Други горещи работни операции с метали</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26</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Обработка на твърди неорганични вещества при нормална температура на околната среда</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27a</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на метали на прах (гореща обработка)</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27b</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на метали на прах (мокра обработка)</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cantSplit/>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ERC 1-7, 12</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формулиране и всички начини на промишлена употреба</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ERC 10, 11</w:t>
            </w:r>
          </w:p>
        </w:tc>
        <w:tc>
          <w:tcPr>
            <w:tcW w:w="4453"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Широко дисперсивна употреба на открито и в закрити помещения на изделия и материали с дълъг живот </w:t>
            </w:r>
          </w:p>
        </w:tc>
        <w:tc>
          <w:tcPr>
            <w:tcW w:w="3188" w:type="dxa"/>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2.1 Контрол на експозицията на работниците</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trHeight w:val="841"/>
          <w:jc w:val="center"/>
        </w:trPr>
        <w:tc>
          <w:tcPr>
            <w:tcW w:w="0" w:type="auto"/>
            <w:gridSpan w:val="6"/>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абразивност се взема предвид нивото й, вместо вътрешно присъщия емисионен потенциал на веществото.</w:t>
            </w:r>
          </w:p>
        </w:tc>
      </w:tr>
      <w:tr w:rsidR="008D6E9B" w:rsidRPr="00703017">
        <w:trPr>
          <w:trHeight w:val="301"/>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gridSpan w:val="2"/>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D6E9B" w:rsidRPr="00703017">
        <w:trPr>
          <w:trHeight w:val="301"/>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 23, 25, 27a</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r w:rsidRPr="00703017">
              <w:rPr>
                <w:lang w:val="bg-BG"/>
              </w:rPr>
              <w:br/>
            </w:r>
            <w:r w:rsidRPr="00703017">
              <w:rPr>
                <w:rFonts w:ascii="Arial" w:hAnsi="Arial" w:cs="Arial"/>
                <w:sz w:val="16"/>
                <w:szCs w:val="16"/>
                <w:lang w:val="bg-BG"/>
              </w:rPr>
              <w:t>разтопени</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D6E9B" w:rsidRPr="00703017">
        <w:trPr>
          <w:trHeight w:val="301"/>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24</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D6E9B" w:rsidRPr="00703017">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ниско</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774F">
        <w:trPr>
          <w:trHeight w:val="673"/>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детерминант на вътрешно присъщия на процеса емисионен потенциал.</w:t>
            </w:r>
          </w:p>
        </w:tc>
      </w:tr>
      <w:tr w:rsidR="008D6E9B" w:rsidRPr="0070774F">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5"/>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w:t>
            </w:r>
          </w:p>
        </w:tc>
        <w:tc>
          <w:tcPr>
            <w:tcW w:w="0" w:type="auto"/>
            <w:gridSpan w:val="5"/>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D6E9B" w:rsidRPr="00703017">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5"/>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D6E9B" w:rsidRPr="00703017">
        <w:trPr>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D6E9B" w:rsidRPr="0070774F">
        <w:trPr>
          <w:trHeight w:val="631"/>
          <w:jc w:val="center"/>
        </w:trPr>
        <w:tc>
          <w:tcPr>
            <w:tcW w:w="0" w:type="auto"/>
            <w:gridSpan w:val="6"/>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Работни условия, като температура и налягане на процеса, се считат за ирелевантни при оценката на професионалната експозиция на извършваните процеси. На етапи на процеса с много висока температура (напр. PROC 22, 23, 25), оценката на експозицията в MEASE обаче се основава и на отношението между температурата на процеса и точката на разтапяне. Тъй като свързаните с процеса температури се различават значително в различните производства, най-високият процент се приема за най-лошия случай на презумпция за целите на оценката на експозицията. По такъв начин всички температури на процеса автоматично се покриват в този сценарий на експозиция за PROC 22, 23 и PROC 25.</w:t>
            </w:r>
          </w:p>
        </w:tc>
      </w:tr>
      <w:tr w:rsidR="008D6E9B" w:rsidRPr="0070774F">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774F">
        <w:trPr>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Измервания на ниво процес като елемент на управлението на риска (напр. задържане или сегрегиране на емисионния източник) по принцип не се изискват при процесите.</w:t>
            </w:r>
          </w:p>
        </w:tc>
      </w:tr>
      <w:tr w:rsidR="008D6E9B" w:rsidRPr="0070774F">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Технически условия и мерки за контрол на дисперсията от източника към работника</w:t>
            </w:r>
          </w:p>
        </w:tc>
      </w:tr>
      <w:tr w:rsidR="008D6E9B" w:rsidRPr="00703017">
        <w:trPr>
          <w:trHeight w:val="301"/>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gridSpan w:val="2"/>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D6E9B" w:rsidRPr="00703017">
        <w:trPr>
          <w:trHeight w:val="414"/>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 17, 18</w:t>
            </w:r>
          </w:p>
        </w:tc>
        <w:tc>
          <w:tcPr>
            <w:tcW w:w="0" w:type="auto"/>
            <w:vMerge w:val="restart"/>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Всяко потенциално налагащо се откъсване на работниците от емисионния източник се включва по-горе под надслова </w:t>
            </w:r>
            <w:r>
              <w:rPr>
                <w:rFonts w:ascii="Arial" w:hAnsi="Arial" w:cs="Arial"/>
                <w:sz w:val="16"/>
                <w:szCs w:val="16"/>
                <w:lang w:val="bg-BG"/>
              </w:rPr>
              <w:t>„</w:t>
            </w:r>
            <w:r w:rsidRPr="00703017">
              <w:rPr>
                <w:rFonts w:ascii="Arial" w:hAnsi="Arial" w:cs="Arial"/>
                <w:sz w:val="16"/>
                <w:szCs w:val="16"/>
                <w:lang w:val="bg-BG"/>
              </w:rPr>
              <w:t>Честота и 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Намаляване на продължителността на експозицията може да се постигне, примерно, чрез инсталиране на вентилирани контролни стаи (позитивно налягане) или чрез извеждане на работника от работното място със съответната експозиция.</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обща вентилация</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17 %</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415"/>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vMerge/>
            <w:vAlign w:val="center"/>
          </w:tcPr>
          <w:p w:rsidR="008D6E9B" w:rsidRPr="00703017" w:rsidRDefault="008D6E9B" w:rsidP="009D4C75">
            <w:pPr>
              <w:keepNext/>
              <w:jc w:val="center"/>
              <w:rPr>
                <w:rFonts w:ascii="Arial" w:hAnsi="Arial" w:cs="Arial"/>
                <w:sz w:val="16"/>
                <w:szCs w:val="16"/>
                <w:lang w:val="bg-BG" w:eastAsia="de-DE"/>
              </w:rPr>
            </w:pP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неприложимо</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414"/>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 23, 24, 25, 26, 27a</w:t>
            </w:r>
          </w:p>
        </w:tc>
        <w:tc>
          <w:tcPr>
            <w:tcW w:w="0" w:type="auto"/>
            <w:vMerge/>
            <w:vAlign w:val="center"/>
          </w:tcPr>
          <w:p w:rsidR="008D6E9B" w:rsidRPr="00703017" w:rsidRDefault="008D6E9B" w:rsidP="009D4C75">
            <w:pPr>
              <w:keepNext/>
              <w:jc w:val="center"/>
              <w:rPr>
                <w:rFonts w:ascii="Arial" w:hAnsi="Arial" w:cs="Arial"/>
                <w:sz w:val="16"/>
                <w:szCs w:val="16"/>
                <w:lang w:val="bg-BG" w:eastAsia="de-DE"/>
              </w:rPr>
            </w:pP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местна вентилация на отработените газове</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78 %</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415"/>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Merge/>
            <w:vAlign w:val="center"/>
          </w:tcPr>
          <w:p w:rsidR="008D6E9B" w:rsidRPr="00703017" w:rsidRDefault="008D6E9B" w:rsidP="009D4C75">
            <w:pPr>
              <w:keepNext/>
              <w:jc w:val="center"/>
              <w:rPr>
                <w:rFonts w:ascii="Arial" w:hAnsi="Arial" w:cs="Arial"/>
                <w:sz w:val="16"/>
                <w:szCs w:val="16"/>
                <w:lang w:val="bg-BG" w:eastAsia="de-DE"/>
              </w:rPr>
            </w:pP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отделянията, дисперсията и експозицията</w:t>
            </w:r>
          </w:p>
        </w:tc>
      </w:tr>
      <w:tr w:rsidR="008D6E9B" w:rsidRPr="0070774F">
        <w:trPr>
          <w:trHeight w:val="882"/>
          <w:jc w:val="center"/>
        </w:trPr>
        <w:tc>
          <w:tcPr>
            <w:tcW w:w="0" w:type="auto"/>
            <w:gridSpan w:val="6"/>
            <w:vAlign w:val="center"/>
          </w:tcPr>
          <w:p w:rsidR="008D6E9B" w:rsidRPr="00703017" w:rsidRDefault="008D6E9B" w:rsidP="00AC656F">
            <w:pPr>
              <w:spacing w:line="240" w:lineRule="auto"/>
              <w:jc w:val="both"/>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смяна. Не носете заразени дрехи вкъщи. Не издухвайте праха с въздух под налягане.</w:t>
            </w:r>
          </w:p>
        </w:tc>
      </w:tr>
      <w:tr w:rsidR="008D6E9B" w:rsidRPr="0070774F">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за лична защита, хигиена и оценка на здравето</w:t>
            </w: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gridSpan w:val="2"/>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D6E9B" w:rsidRPr="0070774F">
        <w:trPr>
          <w:trHeight w:val="587"/>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 24, 27a</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gridSpan w:val="2"/>
            <w:vMerge w:val="restart"/>
            <w:vAlign w:val="center"/>
          </w:tcPr>
          <w:p w:rsidR="008D6E9B" w:rsidRPr="00703017" w:rsidRDefault="008D6E9B" w:rsidP="009D4C75">
            <w:pPr>
              <w:keepNext/>
              <w:jc w:val="center"/>
              <w:rPr>
                <w:rFonts w:ascii="Arial" w:hAnsi="Arial" w:cs="Arial"/>
                <w:sz w:val="16"/>
                <w:szCs w:val="16"/>
                <w:lang w:val="bg-BG" w:eastAsia="de-DE"/>
              </w:rPr>
            </w:pPr>
            <w:r w:rsidRPr="00703017">
              <w:rPr>
                <w:rFonts w:ascii="Arial" w:hAnsi="Arial" w:cs="Arial"/>
                <w:sz w:val="16"/>
                <w:szCs w:val="16"/>
                <w:lang w:val="bg-BG"/>
              </w:rPr>
              <w:t xml:space="preserve">Тъй </w:t>
            </w:r>
            <w:r w:rsidRPr="0070774F">
              <w:rPr>
                <w:rFonts w:ascii="Arial" w:hAnsi="Arial" w:cs="Arial"/>
                <w:sz w:val="16"/>
                <w:szCs w:val="16"/>
                <w:lang w:val="bg-BG"/>
              </w:rPr>
              <w:t>като CaO е класифицирано</w:t>
            </w:r>
            <w:r w:rsidRPr="00703017">
              <w:rPr>
                <w:rFonts w:ascii="Arial" w:hAnsi="Arial" w:cs="Arial"/>
                <w:sz w:val="16"/>
                <w:szCs w:val="16"/>
                <w:lang w:val="bg-BG"/>
              </w:rPr>
              <w:t xml:space="preserve"> като дразнещо кожата, задължителна е употребата на защитни ръкавици на всички етапи на процеса.</w:t>
            </w:r>
          </w:p>
        </w:tc>
        <w:tc>
          <w:tcPr>
            <w:tcW w:w="0" w:type="auto"/>
            <w:vMerge w:val="restart"/>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D6E9B" w:rsidRPr="00703017">
        <w:trPr>
          <w:trHeight w:val="587"/>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454"/>
          <w:jc w:val="center"/>
        </w:trPr>
        <w:tc>
          <w:tcPr>
            <w:tcW w:w="0" w:type="auto"/>
            <w:gridSpan w:val="6"/>
            <w:vAlign w:val="center"/>
          </w:tcPr>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D6E9B" w:rsidRPr="00703017" w:rsidRDefault="008D6E9B"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Общ преглед на APF на различните RPE (съгласно BS EN 529:2005) може да се намери в глосара на MEASE.</w:t>
            </w:r>
          </w:p>
        </w:tc>
      </w:tr>
      <w:tr w:rsidR="008D6E9B" w:rsidRPr="0070774F">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2.2 Контрол на експозицията за околната среда</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3017">
        <w:trPr>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Дневното и годишното количество на обект (за точкови източници) не се счита за основен детерминант на експозицията за околната среда.</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Честота и продължителност на употребата</w:t>
            </w:r>
          </w:p>
        </w:tc>
      </w:tr>
      <w:tr w:rsidR="008D6E9B" w:rsidRPr="00703017">
        <w:trPr>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Прекъсваема (&lt; 12 пъти в годината) или непрекъсваема употреба/отделяне</w:t>
            </w:r>
          </w:p>
        </w:tc>
      </w:tr>
      <w:tr w:rsidR="008D6E9B" w:rsidRPr="00703017">
        <w:trPr>
          <w:trHeight w:val="315"/>
          <w:jc w:val="center"/>
        </w:trPr>
        <w:tc>
          <w:tcPr>
            <w:tcW w:w="0" w:type="auto"/>
            <w:gridSpan w:val="6"/>
            <w:shd w:val="clear" w:color="000000" w:fill="CCCCCC"/>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D6E9B" w:rsidRPr="00703017">
        <w:trPr>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Скорост на потока на приемащите повърхностни води: 18 000 m³/ден</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rPr>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Скорост </w:t>
            </w:r>
            <w:r>
              <w:rPr>
                <w:rFonts w:ascii="Arial" w:hAnsi="Arial" w:cs="Arial"/>
                <w:sz w:val="16"/>
                <w:szCs w:val="16"/>
                <w:lang w:val="bg-BG"/>
              </w:rPr>
              <w:t>на изтичащия отпаден поток: 2</w:t>
            </w:r>
            <w:r w:rsidRPr="00703017">
              <w:rPr>
                <w:rFonts w:ascii="Arial" w:hAnsi="Arial" w:cs="Arial"/>
                <w:sz w:val="16"/>
                <w:szCs w:val="16"/>
                <w:lang w:val="bg-BG"/>
              </w:rPr>
              <w:t>000 m³/ден</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D6E9B" w:rsidRPr="0070774F">
        <w:trPr>
          <w:trHeight w:val="765"/>
          <w:jc w:val="center"/>
        </w:trPr>
        <w:tc>
          <w:tcPr>
            <w:tcW w:w="0" w:type="auto"/>
            <w:gridSpan w:val="6"/>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Мерките за управление на риска за околната среда целят избягване на изпускания на </w:t>
            </w:r>
            <w:r>
              <w:rPr>
                <w:rFonts w:ascii="Arial" w:hAnsi="Arial" w:cs="Arial"/>
                <w:sz w:val="16"/>
                <w:szCs w:val="16"/>
                <w:lang w:val="bg-BG"/>
              </w:rPr>
              <w:t>варови</w:t>
            </w:r>
            <w:r w:rsidRPr="00703017">
              <w:rPr>
                <w:rFonts w:ascii="Arial" w:hAnsi="Arial" w:cs="Arial"/>
                <w:sz w:val="16"/>
                <w:szCs w:val="16"/>
                <w:lang w:val="bg-BG"/>
              </w:rPr>
              <w:t xml:space="preserve"> разтвори в обществената канализация или в повърхностните води, когато се очаква тези изпускания да доведат до значителни промени на pH. Изисква се редовен контрол на нивото на pH в процеса на въвеждане на индустриалните в природните води. Най-общо изпусканията трябва да се извършват по такъв начин, че промяната в нивото на pH в приемащите повърхностни води да е минимално (напр. чрез неутрализация). По принцип болшинството водни организми могат да понесат стойности на pH в рамките на 6-9. Това е отразено и в </w:t>
            </w:r>
            <w:r w:rsidRPr="00BF27A0">
              <w:rPr>
                <w:rFonts w:ascii="Arial" w:hAnsi="Arial" w:cs="Arial"/>
                <w:sz w:val="16"/>
                <w:szCs w:val="16"/>
                <w:lang w:val="bg-BG"/>
              </w:rPr>
              <w:t>описанието на</w:t>
            </w:r>
            <w:r w:rsidRPr="00703017">
              <w:rPr>
                <w:rFonts w:ascii="Arial" w:hAnsi="Arial" w:cs="Arial"/>
                <w:sz w:val="16"/>
                <w:szCs w:val="16"/>
                <w:lang w:val="bg-BG"/>
              </w:rPr>
              <w:t xml:space="preserve"> стандартни тестове с водни организми OECD. Обосновката на тази мярка за управление на риска може да се намери в уводната част.</w:t>
            </w:r>
          </w:p>
        </w:tc>
      </w:tr>
      <w:tr w:rsidR="008D6E9B" w:rsidRPr="0070774F">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свързани с отпадъците</w:t>
            </w:r>
          </w:p>
        </w:tc>
      </w:tr>
      <w:tr w:rsidR="008D6E9B" w:rsidRPr="0070774F">
        <w:trPr>
          <w:trHeight w:val="356"/>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Твърдит</w:t>
            </w:r>
            <w:r>
              <w:rPr>
                <w:rFonts w:ascii="Arial" w:hAnsi="Arial" w:cs="Arial"/>
                <w:sz w:val="16"/>
                <w:szCs w:val="16"/>
                <w:lang w:val="bg-BG"/>
              </w:rPr>
              <w:t>е промишлени отпадъци от вар</w:t>
            </w:r>
            <w:r w:rsidRPr="00703017">
              <w:rPr>
                <w:rFonts w:ascii="Arial" w:hAnsi="Arial" w:cs="Arial"/>
                <w:sz w:val="16"/>
                <w:szCs w:val="16"/>
                <w:lang w:val="bg-BG"/>
              </w:rPr>
              <w:t xml:space="preserve"> трябва да се рециклират или изхвърлят в промишлените отпадни води и да се неутрализират по-нататък, ако е необходимо.</w:t>
            </w:r>
          </w:p>
        </w:tc>
      </w:tr>
      <w:tr w:rsidR="008D6E9B" w:rsidRPr="0070774F">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3. Оценка на експозицията и референция на източника</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D6E9B" w:rsidRPr="0070774F">
        <w:trPr>
          <w:trHeight w:val="601"/>
          <w:jc w:val="center"/>
        </w:trPr>
        <w:tc>
          <w:tcPr>
            <w:tcW w:w="0" w:type="auto"/>
            <w:gridSpan w:val="6"/>
            <w:vAlign w:val="center"/>
          </w:tcPr>
          <w:p w:rsidR="008D6E9B" w:rsidRPr="0070774F" w:rsidRDefault="008D6E9B" w:rsidP="00C817D1">
            <w:pPr>
              <w:keepNext/>
              <w:spacing w:line="240" w:lineRule="auto"/>
              <w:rPr>
                <w:rFonts w:ascii="Arial" w:hAnsi="Arial" w:cs="Arial"/>
                <w:sz w:val="16"/>
                <w:szCs w:val="16"/>
                <w:lang w:val="bg-BG" w:eastAsia="de-DE"/>
              </w:rPr>
            </w:pPr>
            <w:r w:rsidRPr="0070774F">
              <w:rPr>
                <w:rFonts w:ascii="Arial" w:hAnsi="Arial" w:cs="Arial"/>
                <w:sz w:val="16"/>
                <w:szCs w:val="16"/>
                <w:lang w:val="bg-BG"/>
              </w:rPr>
              <w:t>Инструментът за оценка на експозицията MEASE се използва за оценка на експозицията при вдишване. Съотношението на характеризиране на риска (RCR) еотношение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за CaO от 1 mg/m³ (като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тъй като вдишаната фракция е подфракция на вдишваната фракция, съгласно EN 481.</w:t>
            </w:r>
          </w:p>
        </w:tc>
      </w:tr>
      <w:tr w:rsidR="008D6E9B" w:rsidRPr="0070774F">
        <w:trPr>
          <w:trHeight w:val="679"/>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Методология, използвана за оценка на експозицията при вдишване</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на експозиция при вдишване (RCR)</w:t>
            </w:r>
          </w:p>
        </w:tc>
        <w:tc>
          <w:tcPr>
            <w:tcW w:w="0" w:type="auto"/>
            <w:gridSpan w:val="2"/>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Методология, използвана за оценка на дермалната експозиция</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при дермална експозиция (RCR)</w:t>
            </w: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 2, 3, 4, 5, 6, 7, 8a, 8b, 9, 10, 13, 14, 15, 16, 17, 18, 19, 21, 22, 23, 24, 25, 26, 27a, 27b</w:t>
            </w:r>
          </w:p>
        </w:tc>
        <w:tc>
          <w:tcPr>
            <w:tcW w:w="0" w:type="auto"/>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MEASE</w:t>
            </w:r>
          </w:p>
        </w:tc>
        <w:tc>
          <w:tcPr>
            <w:tcW w:w="0" w:type="auto"/>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&lt; 1 mg/m³ (0</w:t>
            </w:r>
            <w:r w:rsidRPr="0070774F">
              <w:rPr>
                <w:rFonts w:ascii="Arial" w:hAnsi="Arial" w:cs="Arial"/>
                <w:sz w:val="16"/>
                <w:szCs w:val="16"/>
                <w:lang w:val="de-DE"/>
              </w:rPr>
              <w:t>,</w:t>
            </w:r>
            <w:r w:rsidRPr="0070774F">
              <w:rPr>
                <w:rFonts w:ascii="Arial" w:hAnsi="Arial" w:cs="Arial"/>
                <w:sz w:val="16"/>
                <w:szCs w:val="16"/>
                <w:lang w:val="bg-BG"/>
              </w:rPr>
              <w:t>01 – 0</w:t>
            </w:r>
            <w:r w:rsidRPr="0070774F">
              <w:rPr>
                <w:rFonts w:ascii="Arial" w:hAnsi="Arial" w:cs="Arial"/>
                <w:sz w:val="16"/>
                <w:szCs w:val="16"/>
                <w:lang w:val="de-DE"/>
              </w:rPr>
              <w:t>,</w:t>
            </w:r>
            <w:r w:rsidRPr="0070774F">
              <w:rPr>
                <w:rFonts w:ascii="Arial" w:hAnsi="Arial" w:cs="Arial"/>
                <w:sz w:val="16"/>
                <w:szCs w:val="16"/>
                <w:lang w:val="bg-BG"/>
              </w:rPr>
              <w:t>83)</w:t>
            </w:r>
          </w:p>
        </w:tc>
        <w:tc>
          <w:tcPr>
            <w:tcW w:w="0" w:type="auto"/>
            <w:gridSpan w:val="3"/>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Тъй като CaO се класифицира като дразнещо кожата, дермалната експозиция трябва да се минимализира до технически оправданото. Не е получен DNEL за дермалните ефекти. Така че дермалната експозиция не се оценява в този сценарий на експозиция.</w:t>
            </w:r>
          </w:p>
        </w:tc>
      </w:tr>
      <w:tr w:rsidR="008D6E9B" w:rsidRPr="00703017">
        <w:trPr>
          <w:trHeight w:val="315"/>
          <w:jc w:val="center"/>
        </w:trPr>
        <w:tc>
          <w:tcPr>
            <w:tcW w:w="0" w:type="auto"/>
            <w:gridSpan w:val="6"/>
            <w:shd w:val="clear" w:color="000000" w:fill="C0C0C0"/>
            <w:vAlign w:val="center"/>
          </w:tcPr>
          <w:p w:rsidR="008D6E9B" w:rsidRPr="0070774F" w:rsidRDefault="008D6E9B" w:rsidP="009D4C75">
            <w:pPr>
              <w:keepNext/>
              <w:spacing w:line="240" w:lineRule="auto"/>
              <w:jc w:val="both"/>
              <w:rPr>
                <w:rFonts w:ascii="Arial" w:hAnsi="Arial" w:cs="Arial"/>
                <w:b/>
                <w:bCs/>
                <w:color w:val="0000FF"/>
                <w:sz w:val="16"/>
                <w:szCs w:val="16"/>
                <w:lang w:val="bg-BG" w:eastAsia="de-DE"/>
              </w:rPr>
            </w:pPr>
            <w:r w:rsidRPr="0070774F">
              <w:rPr>
                <w:rFonts w:ascii="Arial" w:hAnsi="Arial" w:cs="Arial"/>
                <w:b/>
                <w:bCs/>
                <w:color w:val="0000FF"/>
                <w:sz w:val="16"/>
                <w:szCs w:val="16"/>
                <w:lang w:val="bg-BG"/>
              </w:rPr>
              <w:t>Емисии в околната среда</w:t>
            </w:r>
          </w:p>
        </w:tc>
      </w:tr>
      <w:tr w:rsidR="008D6E9B" w:rsidRPr="0070774F">
        <w:trPr>
          <w:cantSplit/>
          <w:trHeight w:val="301"/>
          <w:jc w:val="center"/>
        </w:trPr>
        <w:tc>
          <w:tcPr>
            <w:tcW w:w="0" w:type="auto"/>
            <w:gridSpan w:val="6"/>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Оценката на експозицията за околната среда се отнася само до водната среда, когато тя е засегната, вкл. ПСОВ/ППСОВ, тъй като емисиите на CaO на различните стадий от жизнения цикъл (производство и употреба) засягат основно водата (отпадната). Оценката на ефекта върху и риска за водата се занимава само с въздействието върху организмите/екосистемите поради възможни изпускания на OH и промяна на pH, като токсичността на Ca2+ се очаква да е незначителна в сравнение с (потенциалния) ефект на pH. Разглежда се само на местно ниво, в т.ч. общинските ПСОВ и ППСОВ, където ги има, както за производство, така и за промишлено ползване, тъй като се очакват ефекти единствено на местно ниво. Високата разтворимост във вода и много ниското парно налягане показват, че CaO може да се открие основно във водата. Значителни емисии и експозиция на въздуха не се очакват, поради ниското парно налягане на CaO. Значителни емисии или експозиция на сухоземната среда също не се очакват за този сценарий на експозиция. Оценката на експозицията за водната среда следователно се занимава само с възможните промени на pH в отходните води на ПСОВ и повърхностните води, свързани с изпускането на OH на местно ниво. Към оценката на експозицията се подхожда с оценка на въздействието на получилото се pH: pH на повърхностните води не трябва да надвишава 9.</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5"/>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Производството на CaO може евентуално да доведе до емисии във водата и увеличаване на местно ниво на концентрацията на CaO, което се отразява на pH във водната среда. Когато pH не се неутрализира, изпускането на отпадни води от производството на CaO може да повлияе върху pH на приемащата река. pH на заустваната вода обикновено се измерва много често и може да бъде лесно неутрализирано, толкова често, колкото се изисква от националното законодателство.</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lastRenderedPageBreak/>
              <w:t>Концентрация на експозицията в отпадните води на ППСОВ</w:t>
            </w:r>
          </w:p>
        </w:tc>
        <w:tc>
          <w:tcPr>
            <w:tcW w:w="0" w:type="auto"/>
            <w:gridSpan w:val="5"/>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Отпадните води от производството на CaO представляват неорганичен поток и затова не се третират биологично. Следователно, отпадният поток от обекти за производство на CaO обикновено не се третират в биологични ППСОВ, но могат да се използват за контрол на pH на киселинните отпадни водни потоци, които се обработват в биологичните ППСОВ.</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водно-пелагична камера</w:t>
            </w:r>
          </w:p>
        </w:tc>
        <w:tc>
          <w:tcPr>
            <w:tcW w:w="0" w:type="auto"/>
            <w:gridSpan w:val="5"/>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Когато CaO се емитира в повърхностните води, сорбцията в частици и седименти е незначителна. Когато варта се отделя в повърхностните води, pH може да нарасне в зависимост от буферния капацитет на водата. Колкото е по-висок буферният капацитет на водата, толкова по-нисък е ефектът върху pH. Най-общо буферният капацитет, който не позволява промяна в киселинността или алкалността на водите, се регулира от равновесието между въглеродния двуокис (CO2), бикарбонатния йон (HCO3-) и карбонатния йон (CO32-).</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5"/>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Седиментната част не е включена в този ES, защото не се счита за релевантна по отношение на CaO: когато CaO се емитира във водна среда, сорбцията в седиментарни частици е незначителна.</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gridSpan w:val="5"/>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Сухоземната част не е включена в този сценарий на експозиция, защото се счита за ирелевантна.</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5"/>
            <w:vAlign w:val="center"/>
          </w:tcPr>
          <w:p w:rsidR="008D6E9B" w:rsidRPr="0070774F" w:rsidRDefault="008D6E9B" w:rsidP="00BC5EEB">
            <w:pPr>
              <w:spacing w:line="240" w:lineRule="auto"/>
              <w:rPr>
                <w:rFonts w:ascii="Arial" w:hAnsi="Arial" w:cs="Arial"/>
                <w:sz w:val="16"/>
                <w:szCs w:val="16"/>
                <w:lang w:val="bg-BG" w:eastAsia="de-DE"/>
              </w:rPr>
            </w:pPr>
            <w:r w:rsidRPr="0070774F">
              <w:rPr>
                <w:rFonts w:ascii="Arial" w:hAnsi="Arial" w:cs="Arial"/>
                <w:sz w:val="16"/>
                <w:szCs w:val="16"/>
                <w:lang w:val="bg-BG"/>
              </w:rPr>
              <w:t>Атмосферната част не е включена в този СES, защото не се счита за релевантна по отношение на CaO: когато се емитират във въздуха като воден аерозол, CaO се неутрализират, в резултат на реакцията им с CO2 (или други киселини), във HCO3- и Ca2+. Впоследствие, солите (като калциевия бикарбонат) се отмиват от въздуха и по този начин атмосферните емисии на неутрализираното CaO в голямата си част попадат в почвата и водите.</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5"/>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Биоакумулирането не е релевантно за CaO: следователно не се налага оценка на риска за вторично отравяне.</w:t>
            </w:r>
          </w:p>
        </w:tc>
      </w:tr>
      <w:tr w:rsidR="008D6E9B" w:rsidRPr="0070774F">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4. Ръководство за</w:t>
            </w:r>
            <w:r>
              <w:rPr>
                <w:rFonts w:ascii="Arial" w:hAnsi="Arial" w:cs="Arial"/>
                <w:b/>
                <w:bCs/>
                <w:color w:val="0000FF"/>
                <w:sz w:val="20"/>
                <w:szCs w:val="20"/>
                <w:lang w:val="bg-BG"/>
              </w:rPr>
              <w:t xml:space="preserve"> ПВ </w:t>
            </w:r>
            <w:r w:rsidRPr="00703017">
              <w:rPr>
                <w:rFonts w:ascii="Arial" w:hAnsi="Arial" w:cs="Arial"/>
                <w:b/>
                <w:bCs/>
                <w:color w:val="0000FF"/>
                <w:sz w:val="20"/>
                <w:szCs w:val="20"/>
                <w:lang w:val="bg-BG"/>
              </w:rPr>
              <w:t>за оценка, дали работи в рамките на ES</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D6E9B" w:rsidRPr="0070774F">
        <w:trPr>
          <w:trHeight w:val="315"/>
          <w:jc w:val="center"/>
        </w:trPr>
        <w:tc>
          <w:tcPr>
            <w:tcW w:w="0" w:type="auto"/>
            <w:gridSpan w:val="6"/>
            <w:vAlign w:val="center"/>
          </w:tcPr>
          <w:p w:rsidR="008D6E9B" w:rsidRPr="00703017" w:rsidRDefault="008D6E9B"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дермалната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скалиращ инструмент, като MEASE (</w:t>
            </w:r>
            <w:hyperlink r:id="rId19"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глосара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w:t>
            </w:r>
            <w:r>
              <w:rPr>
                <w:rFonts w:ascii="Arial" w:hAnsi="Arial" w:cs="Arial"/>
                <w:sz w:val="16"/>
                <w:szCs w:val="16"/>
                <w:lang w:val="bg-BG"/>
              </w:rPr>
              <w:t>а със запрашеност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D6E9B" w:rsidRPr="00703017" w:rsidRDefault="008D6E9B" w:rsidP="009D4C75">
            <w:pPr>
              <w:spacing w:before="60" w:after="60" w:line="240" w:lineRule="auto"/>
              <w:rPr>
                <w:rFonts w:ascii="Arial" w:hAnsi="Arial" w:cs="Arial"/>
                <w:sz w:val="20"/>
                <w:szCs w:val="20"/>
                <w:lang w:val="bg-BG" w:eastAsia="de-DE"/>
              </w:rPr>
            </w:pPr>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r w:rsidRPr="00703017">
              <w:rPr>
                <w:rFonts w:ascii="Arial" w:hAnsi="Arial" w:cs="Arial"/>
                <w:sz w:val="20"/>
                <w:szCs w:val="20"/>
                <w:lang w:val="bg-BG"/>
              </w:rPr>
              <w:t>:</w:t>
            </w:r>
            <w:r w:rsidRPr="00703017">
              <w:rPr>
                <w:rFonts w:ascii="Arial" w:hAnsi="Arial" w:cs="Arial"/>
                <w:sz w:val="20"/>
                <w:szCs w:val="20"/>
                <w:lang w:val="bg-BG"/>
              </w:rPr>
              <w:tab/>
              <w:t>1 mg/m³ (като вдишван прах)</w:t>
            </w:r>
          </w:p>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mg/m³.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w:t>
            </w:r>
          </w:p>
        </w:tc>
      </w:tr>
      <w:tr w:rsidR="008D6E9B" w:rsidRPr="00703017">
        <w:trPr>
          <w:trHeight w:val="1310"/>
          <w:jc w:val="center"/>
        </w:trPr>
        <w:tc>
          <w:tcPr>
            <w:tcW w:w="0" w:type="auto"/>
            <w:gridSpan w:val="6"/>
            <w:vAlign w:val="center"/>
          </w:tcPr>
          <w:p w:rsidR="008D6E9B" w:rsidRPr="00703017" w:rsidRDefault="008D6E9B"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sz w:val="16"/>
                <w:szCs w:val="16"/>
                <w:lang w:val="bg-BG"/>
              </w:rPr>
              <w:t>Ако даден обект не отговаря на условията, посочени в сценария за експозиция при безопасна употреба, препоръчва се да се приложи подход по редове за извършване на по-прецизна оценка. За извършване на такава оценка се препоръчва следния поетапен подход.</w:t>
            </w:r>
          </w:p>
          <w:p w:rsidR="008D6E9B" w:rsidRPr="00703017" w:rsidRDefault="008D6E9B" w:rsidP="009D4C75">
            <w:pPr>
              <w:tabs>
                <w:tab w:val="left" w:pos="1701"/>
              </w:tabs>
              <w:spacing w:before="60" w:after="60" w:line="240" w:lineRule="auto"/>
              <w:rPr>
                <w:rFonts w:ascii="Arial" w:hAnsi="Arial" w:cs="Arial"/>
                <w:sz w:val="16"/>
                <w:szCs w:val="16"/>
                <w:lang w:val="bg-BG" w:eastAsia="de-DE"/>
              </w:rPr>
            </w:pPr>
          </w:p>
          <w:p w:rsidR="008D6E9B" w:rsidRPr="00703017" w:rsidRDefault="008D6E9B"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1</w:t>
            </w:r>
            <w:r w:rsidRPr="00703017">
              <w:rPr>
                <w:rFonts w:ascii="Arial" w:hAnsi="Arial" w:cs="Arial"/>
                <w:sz w:val="16"/>
                <w:szCs w:val="16"/>
                <w:lang w:val="bg-BG"/>
              </w:rPr>
              <w:t xml:space="preserve">: получете информация за pH на отпадните води и за приноса на </w:t>
            </w:r>
            <w:r w:rsidRPr="0070774F">
              <w:rPr>
                <w:rFonts w:ascii="Arial" w:hAnsi="Arial" w:cs="Arial"/>
                <w:sz w:val="16"/>
                <w:szCs w:val="16"/>
                <w:lang w:val="bg-BG"/>
              </w:rPr>
              <w:t>CaO за този резултат. Ако pH е над 9 и основно се дължи на варта, наложителни са следващите действия за демонстриране на безопасна</w:t>
            </w:r>
            <w:r w:rsidRPr="00703017">
              <w:rPr>
                <w:rFonts w:ascii="Arial" w:hAnsi="Arial" w:cs="Arial"/>
                <w:sz w:val="16"/>
                <w:szCs w:val="16"/>
                <w:lang w:val="bg-BG"/>
              </w:rPr>
              <w:t xml:space="preserve"> употреба.</w:t>
            </w:r>
          </w:p>
          <w:p w:rsidR="008D6E9B" w:rsidRPr="00703017" w:rsidRDefault="008D6E9B" w:rsidP="009D4C75">
            <w:pPr>
              <w:tabs>
                <w:tab w:val="left" w:pos="1701"/>
              </w:tabs>
              <w:spacing w:before="60" w:after="60" w:line="240" w:lineRule="auto"/>
              <w:rPr>
                <w:rFonts w:ascii="Arial" w:hAnsi="Arial" w:cs="Arial"/>
                <w:sz w:val="16"/>
                <w:szCs w:val="16"/>
                <w:lang w:val="bg-BG" w:eastAsia="de-DE"/>
              </w:rPr>
            </w:pPr>
          </w:p>
          <w:p w:rsidR="008D6E9B" w:rsidRPr="00703017" w:rsidRDefault="008D6E9B"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2а</w:t>
            </w:r>
            <w:r w:rsidRPr="00703017">
              <w:rPr>
                <w:rFonts w:ascii="Arial" w:hAnsi="Arial" w:cs="Arial"/>
                <w:sz w:val="16"/>
                <w:szCs w:val="16"/>
                <w:lang w:val="bg-BG"/>
              </w:rPr>
              <w:t>: получете информация за pH на приемащите води след точката на заустване. pH на приемащите води не трябва да надвишава 9. Ако няма налични измервания, pH в реката може да се изчисли по следния начин:</w:t>
            </w:r>
          </w:p>
          <w:p w:rsidR="008D6E9B" w:rsidRPr="00A61D7B" w:rsidRDefault="008D6E9B" w:rsidP="009D4C75">
            <w:pPr>
              <w:tabs>
                <w:tab w:val="left" w:pos="1701"/>
              </w:tabs>
              <w:spacing w:before="60" w:after="60" w:line="240" w:lineRule="auto"/>
              <w:jc w:val="both"/>
              <w:rPr>
                <w:rFonts w:ascii="Arial" w:hAnsi="Arial" w:cs="Arial"/>
                <w:sz w:val="16"/>
                <w:szCs w:val="16"/>
                <w:lang w:val="bg-BG" w:eastAsia="de-DE"/>
              </w:rPr>
            </w:pPr>
          </w:p>
          <w:p w:rsidR="008D6E9B" w:rsidRPr="00A61D7B" w:rsidRDefault="008D6E9B" w:rsidP="009D4C75">
            <w:pPr>
              <w:tabs>
                <w:tab w:val="left" w:pos="1701"/>
              </w:tabs>
              <w:spacing w:before="60" w:after="60" w:line="240" w:lineRule="auto"/>
              <w:jc w:val="both"/>
              <w:rPr>
                <w:rFonts w:ascii="Arial" w:hAnsi="Arial" w:cs="Arial"/>
                <w:sz w:val="16"/>
                <w:szCs w:val="16"/>
                <w:lang w:val="bg-BG" w:eastAsia="de-DE"/>
              </w:rPr>
            </w:pPr>
          </w:p>
          <w:p w:rsidR="008D6E9B" w:rsidRPr="00703017" w:rsidRDefault="001D5CEE" w:rsidP="009D4C75">
            <w:pPr>
              <w:tabs>
                <w:tab w:val="left" w:pos="1701"/>
              </w:tabs>
              <w:spacing w:before="60" w:after="60" w:line="240" w:lineRule="auto"/>
              <w:jc w:val="both"/>
              <w:rPr>
                <w:rFonts w:ascii="Arial" w:hAnsi="Arial" w:cs="Arial"/>
                <w:position w:val="-30"/>
                <w:vertAlign w:val="subscript"/>
                <w:lang w:val="bg-BG"/>
              </w:rPr>
            </w:pPr>
            <w:r>
              <w:rPr>
                <w:rFonts w:ascii="Arial" w:hAnsi="Arial" w:cs="Arial"/>
                <w:noProof/>
                <w:sz w:val="16"/>
                <w:szCs w:val="16"/>
                <w:lang w:val="bg-BG" w:eastAsia="bg-BG"/>
              </w:rPr>
              <w:lastRenderedPageBreak/>
              <mc:AlternateContent>
                <mc:Choice Requires="wpc">
                  <w:drawing>
                    <wp:inline distT="0" distB="0" distL="0" distR="0">
                      <wp:extent cx="4159250" cy="814070"/>
                      <wp:effectExtent l="4445" t="0" r="0" b="0"/>
                      <wp:docPr id="86" name="Пла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26" name="Group 33"/>
                              <wpg:cNvGrpSpPr>
                                <a:grpSpLocks/>
                              </wpg:cNvGrpSpPr>
                              <wpg:grpSpPr bwMode="auto">
                                <a:xfrm>
                                  <a:off x="1188085" y="121285"/>
                                  <a:ext cx="2735580" cy="490220"/>
                                  <a:chOff x="60" y="-25"/>
                                  <a:chExt cx="4308" cy="772"/>
                                </a:xfrm>
                              </wpg:grpSpPr>
                              <wps:wsp>
                                <wps:cNvPr id="127" name="Rectangle 34"/>
                                <wps:cNvSpPr>
                                  <a:spLocks noChangeArrowheads="1"/>
                                </wps:cNvSpPr>
                                <wps:spPr bwMode="auto">
                                  <a:xfrm>
                                    <a:off x="60" y="208"/>
                                    <a:ext cx="81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i/>
                                          <w:iCs/>
                                          <w:color w:val="000000"/>
                                          <w:sz w:val="24"/>
                                          <w:szCs w:val="24"/>
                                          <w:lang w:val="en-US"/>
                                        </w:rPr>
                                        <w:t>pHriver</w:t>
                                      </w:r>
                                    </w:p>
                                  </w:txbxContent>
                                </wps:txbx>
                                <wps:bodyPr rot="0" vert="horz" wrap="none" lIns="0" tIns="0" rIns="0" bIns="0" anchor="t" anchorCtr="0" upright="1">
                                  <a:spAutoFit/>
                                </wps:bodyPr>
                              </wps:wsp>
                              <wps:wsp>
                                <wps:cNvPr id="64" name="Rectangle 35"/>
                                <wps:cNvSpPr>
                                  <a:spLocks noChangeArrowheads="1"/>
                                </wps:cNvSpPr>
                                <wps:spPr bwMode="auto">
                                  <a:xfrm>
                                    <a:off x="876" y="180"/>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65" name="Rectangle 36"/>
                                <wps:cNvSpPr>
                                  <a:spLocks noChangeArrowheads="1"/>
                                </wps:cNvSpPr>
                                <wps:spPr bwMode="auto">
                                  <a:xfrm>
                                    <a:off x="1067" y="208"/>
                                    <a:ext cx="43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i/>
                                          <w:iCs/>
                                          <w:color w:val="000000"/>
                                          <w:sz w:val="24"/>
                                          <w:szCs w:val="24"/>
                                          <w:lang w:val="en-US"/>
                                        </w:rPr>
                                        <w:t>Log</w:t>
                                      </w:r>
                                    </w:p>
                                  </w:txbxContent>
                                </wps:txbx>
                                <wps:bodyPr rot="0" vert="horz" wrap="none" lIns="0" tIns="0" rIns="0" bIns="0" anchor="t" anchorCtr="0" upright="1">
                                  <a:spAutoFit/>
                                </wps:bodyPr>
                              </wps:wsp>
                              <wps:wsp>
                                <wps:cNvPr id="66" name="Rectangle 37"/>
                                <wps:cNvSpPr>
                                  <a:spLocks noChangeArrowheads="1"/>
                                </wps:cNvSpPr>
                                <wps:spPr bwMode="auto">
                                  <a:xfrm>
                                    <a:off x="1527" y="56"/>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D6160C"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wps:txbx>
                                <wps:bodyPr rot="0" vert="horz" wrap="none" lIns="0" tIns="0" rIns="0" bIns="0" anchor="t" anchorCtr="0" upright="1">
                                  <a:noAutofit/>
                                </wps:bodyPr>
                              </wps:wsp>
                              <wps:wsp>
                                <wps:cNvPr id="67" name="Rectangle 38"/>
                                <wps:cNvSpPr>
                                  <a:spLocks noChangeArrowheads="1"/>
                                </wps:cNvSpPr>
                                <wps:spPr bwMode="auto">
                                  <a:xfrm>
                                    <a:off x="2104"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color w:val="000000"/>
                                          <w:sz w:val="24"/>
                                          <w:szCs w:val="24"/>
                                          <w:lang w:val="en-US"/>
                                        </w:rPr>
                                        <w:t>*</w:t>
                                      </w:r>
                                    </w:p>
                                  </w:txbxContent>
                                </wps:txbx>
                                <wps:bodyPr rot="0" vert="horz" wrap="none" lIns="0" tIns="0" rIns="0" bIns="0" anchor="t" anchorCtr="0" upright="1">
                                  <a:spAutoFit/>
                                </wps:bodyPr>
                              </wps:wsp>
                              <wps:wsp>
                                <wps:cNvPr id="68" name="Rectangle 39"/>
                                <wps:cNvSpPr>
                                  <a:spLocks noChangeArrowheads="1"/>
                                </wps:cNvSpPr>
                                <wps:spPr bwMode="auto">
                                  <a:xfrm>
                                    <a:off x="2234"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color w:val="000000"/>
                                          <w:sz w:val="24"/>
                                          <w:szCs w:val="24"/>
                                          <w:lang w:val="en-US"/>
                                        </w:rPr>
                                        <w:t>10</w:t>
                                      </w:r>
                                    </w:p>
                                  </w:txbxContent>
                                </wps:txbx>
                                <wps:bodyPr rot="0" vert="horz" wrap="none" lIns="0" tIns="0" rIns="0" bIns="0" anchor="t" anchorCtr="0" upright="1">
                                  <a:spAutoFit/>
                                </wps:bodyPr>
                              </wps:wsp>
                              <wps:wsp>
                                <wps:cNvPr id="69" name="Rectangle 40"/>
                                <wps:cNvSpPr>
                                  <a:spLocks noChangeArrowheads="1"/>
                                </wps:cNvSpPr>
                                <wps:spPr bwMode="auto">
                                  <a:xfrm>
                                    <a:off x="2494" y="38"/>
                                    <a:ext cx="405"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
                                  </w:txbxContent>
                                </wps:txbx>
                                <wps:bodyPr rot="0" vert="horz" wrap="none" lIns="0" tIns="0" rIns="0" bIns="0" anchor="t" anchorCtr="0" upright="1">
                                  <a:spAutoFit/>
                                </wps:bodyPr>
                              </wps:wsp>
                              <wps:wsp>
                                <wps:cNvPr id="70" name="Rectangle 41"/>
                                <wps:cNvSpPr>
                                  <a:spLocks noChangeArrowheads="1"/>
                                </wps:cNvSpPr>
                                <wps:spPr bwMode="auto">
                                  <a:xfrm>
                                    <a:off x="2895" y="28"/>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71" name="Rectangle 42"/>
                                <wps:cNvSpPr>
                                  <a:spLocks noChangeArrowheads="1"/>
                                </wps:cNvSpPr>
                                <wps:spPr bwMode="auto">
                                  <a:xfrm>
                                    <a:off x="3102" y="49"/>
                                    <a:ext cx="47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E03A8E"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wps:txbx>
                                <wps:bodyPr rot="0" vert="horz" wrap="none" lIns="0" tIns="0" rIns="0" bIns="0" anchor="t" anchorCtr="0" upright="1">
                                  <a:spAutoFit/>
                                </wps:bodyPr>
                              </wps:wsp>
                              <wps:wsp>
                                <wps:cNvPr id="72" name="Rectangle 43"/>
                                <wps:cNvSpPr>
                                  <a:spLocks noChangeArrowheads="1"/>
                                </wps:cNvSpPr>
                                <wps:spPr bwMode="auto">
                                  <a:xfrm>
                                    <a:off x="3536"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color w:val="000000"/>
                                          <w:sz w:val="24"/>
                                          <w:szCs w:val="24"/>
                                          <w:lang w:val="en-US"/>
                                        </w:rPr>
                                        <w:t>*</w:t>
                                      </w:r>
                                    </w:p>
                                  </w:txbxContent>
                                </wps:txbx>
                                <wps:bodyPr rot="0" vert="horz" wrap="none" lIns="0" tIns="0" rIns="0" bIns="0" anchor="t" anchorCtr="0" upright="1">
                                  <a:spAutoFit/>
                                </wps:bodyPr>
                              </wps:wsp>
                              <wps:wsp>
                                <wps:cNvPr id="73" name="Rectangle 44"/>
                                <wps:cNvSpPr>
                                  <a:spLocks noChangeArrowheads="1"/>
                                </wps:cNvSpPr>
                                <wps:spPr bwMode="auto">
                                  <a:xfrm>
                                    <a:off x="3656"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color w:val="000000"/>
                                          <w:sz w:val="24"/>
                                          <w:szCs w:val="24"/>
                                          <w:lang w:val="en-US"/>
                                        </w:rPr>
                                        <w:t>10</w:t>
                                      </w:r>
                                    </w:p>
                                  </w:txbxContent>
                                </wps:txbx>
                                <wps:bodyPr rot="0" vert="horz" wrap="none" lIns="0" tIns="0" rIns="0" bIns="0" anchor="t" anchorCtr="0" upright="1">
                                  <a:spAutoFit/>
                                </wps:bodyPr>
                              </wps:wsp>
                              <wps:wsp>
                                <wps:cNvPr id="74" name="Rectangle 45"/>
                                <wps:cNvSpPr>
                                  <a:spLocks noChangeArrowheads="1"/>
                                </wps:cNvSpPr>
                                <wps:spPr bwMode="auto">
                                  <a:xfrm>
                                    <a:off x="3916" y="38"/>
                                    <a:ext cx="34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E03A8E" w:rsidRDefault="00AB5450" w:rsidP="00B338DD">
                                      <w:pPr>
                                        <w:rPr>
                                          <w:rFonts w:ascii="Times" w:hAnsi="Times" w:cs="Times"/>
                                          <w:i/>
                                          <w:iCs/>
                                          <w:color w:val="000000"/>
                                          <w:sz w:val="14"/>
                                          <w:szCs w:val="14"/>
                                          <w:lang w:val="en-US"/>
                                        </w:rPr>
                                      </w:pPr>
                                      <w:r>
                                        <w:rPr>
                                          <w:rFonts w:ascii="Times" w:hAnsi="Times" w:cs="Times"/>
                                          <w:i/>
                                          <w:iCs/>
                                          <w:color w:val="000000"/>
                                          <w:sz w:val="14"/>
                                          <w:szCs w:val="14"/>
                                          <w:lang w:val="en-US"/>
                                        </w:rPr>
                                        <w:t>pH</w:t>
                                      </w:r>
                                      <w:r w:rsidRPr="00E03A8E">
                                        <w:rPr>
                                          <w:rFonts w:ascii="Times" w:hAnsi="Times" w:cs="Times"/>
                                          <w:i/>
                                          <w:iCs/>
                                          <w:color w:val="000000"/>
                                          <w:sz w:val="14"/>
                                          <w:szCs w:val="14"/>
                                          <w:lang w:val="en-US"/>
                                        </w:rPr>
                                        <w:t>_р</w:t>
                                      </w:r>
                                    </w:p>
                                  </w:txbxContent>
                                </wps:txbx>
                                <wps:bodyPr rot="0" vert="horz" wrap="none" lIns="0" tIns="0" rIns="0" bIns="0" anchor="t" anchorCtr="0" upright="1">
                                  <a:spAutoFit/>
                                </wps:bodyPr>
                              </wps:wsp>
                              <wps:wsp>
                                <wps:cNvPr id="75" name="Rectangle 46"/>
                                <wps:cNvSpPr>
                                  <a:spLocks noChangeArrowheads="1"/>
                                </wps:cNvSpPr>
                                <wps:spPr bwMode="auto">
                                  <a:xfrm>
                                    <a:off x="2719" y="367"/>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76" name="Line 47"/>
                                <wps:cNvCnPr>
                                  <a:cxnSpLocks noChangeShapeType="1"/>
                                </wps:cNvCnPr>
                                <wps:spPr bwMode="auto">
                                  <a:xfrm>
                                    <a:off x="1517" y="365"/>
                                    <a:ext cx="2711" cy="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48"/>
                                <wps:cNvSpPr>
                                  <a:spLocks noChangeArrowheads="1"/>
                                </wps:cNvSpPr>
                                <wps:spPr bwMode="auto">
                                  <a:xfrm>
                                    <a:off x="1427"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78" name="Rectangle 49"/>
                                <wps:cNvSpPr>
                                  <a:spLocks noChangeArrowheads="1"/>
                                </wps:cNvSpPr>
                                <wps:spPr bwMode="auto">
                                  <a:xfrm>
                                    <a:off x="1427"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79" name="Rectangle 50"/>
                                <wps:cNvSpPr>
                                  <a:spLocks noChangeArrowheads="1"/>
                                </wps:cNvSpPr>
                                <wps:spPr bwMode="auto">
                                  <a:xfrm>
                                    <a:off x="1427"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80" name="Rectangle 51"/>
                                <wps:cNvSpPr>
                                  <a:spLocks noChangeArrowheads="1"/>
                                </wps:cNvSpPr>
                                <wps:spPr bwMode="auto">
                                  <a:xfrm>
                                    <a:off x="4215"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81" name="Rectangle 52"/>
                                <wps:cNvSpPr>
                                  <a:spLocks noChangeArrowheads="1"/>
                                </wps:cNvSpPr>
                                <wps:spPr bwMode="auto">
                                  <a:xfrm>
                                    <a:off x="4215"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83" name="Rectangle 53"/>
                                <wps:cNvSpPr>
                                  <a:spLocks noChangeArrowheads="1"/>
                                </wps:cNvSpPr>
                                <wps:spPr bwMode="auto">
                                  <a:xfrm>
                                    <a:off x="4215"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84" name="Rectangle 54"/>
                                <wps:cNvSpPr>
                                  <a:spLocks noChangeArrowheads="1"/>
                                </wps:cNvSpPr>
                                <wps:spPr bwMode="auto">
                                  <a:xfrm>
                                    <a:off x="2941" y="380"/>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D6160C"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wps:txbx>
                                <wps:bodyPr rot="0" vert="horz" wrap="none" lIns="0" tIns="0" rIns="0" bIns="0" anchor="t" anchorCtr="0" upright="1">
                                  <a:noAutofit/>
                                </wps:bodyPr>
                              </wps:wsp>
                              <wps:wsp>
                                <wps:cNvPr id="85" name="Rectangle 55"/>
                                <wps:cNvSpPr>
                                  <a:spLocks noChangeArrowheads="1"/>
                                </wps:cNvSpPr>
                                <wps:spPr bwMode="auto">
                                  <a:xfrm>
                                    <a:off x="2212" y="379"/>
                                    <a:ext cx="47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E03A8E"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wps:txbx>
                                <wps:bodyPr rot="0" vert="horz" wrap="none" lIns="0" tIns="0" rIns="0" bIns="0" anchor="t" anchorCtr="0" upright="1">
                                  <a:noAutofit/>
                                </wps:bodyPr>
                              </wps:wsp>
                            </wpg:wgp>
                          </wpc:wpc>
                        </a:graphicData>
                      </a:graphic>
                    </wp:inline>
                  </w:drawing>
                </mc:Choice>
                <mc:Fallback>
                  <w:pict>
                    <v:group id="Платно 31" o:spid="_x0000_s1051" editas="canvas" style="width:327.5pt;height:64.1pt;mso-position-horizontal-relative:char;mso-position-vertical-relative:line" coordsize="41592,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">
                      <v:shape id="_x0000_s1052" type="#_x0000_t75" style="position:absolute;width:41592;height:8140;visibility:visible;mso-wrap-style:square">
                        <v:fill o:detectmouseclick="t"/>
                        <v:path o:connecttype="none"/>
                      </v:shape>
                      <v:group id="Group 33" o:spid="_x0000_s1053" style="position:absolute;left:11880;top:1212;width:27356;height:4903" coordorigin="60,-25" coordsize="430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34" o:spid="_x0000_s1054" style="position:absolute;left:60;top:208;width:816;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AB5450" w:rsidRDefault="00AB5450" w:rsidP="00B338DD">
                                <w:r>
                                  <w:rPr>
                                    <w:rFonts w:ascii="Times" w:hAnsi="Times" w:cs="Times"/>
                                    <w:i/>
                                    <w:iCs/>
                                    <w:color w:val="000000"/>
                                    <w:sz w:val="24"/>
                                    <w:szCs w:val="24"/>
                                    <w:lang w:val="en-US"/>
                                  </w:rPr>
                                  <w:t>pHriver</w:t>
                                </w:r>
                              </w:p>
                            </w:txbxContent>
                          </v:textbox>
                        </v:rect>
                        <v:rect id="Rectangle 35" o:spid="_x0000_s1055" style="position:absolute;left:876;top:180;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AB5450" w:rsidRDefault="00AB5450" w:rsidP="00B338DD">
                                <w:r>
                                  <w:rPr>
                                    <w:rFonts w:ascii="Symbol" w:hAnsi="Symbol" w:cs="Symbol"/>
                                    <w:color w:val="000000"/>
                                    <w:sz w:val="24"/>
                                    <w:szCs w:val="24"/>
                                    <w:lang w:val="en-US"/>
                                  </w:rPr>
                                  <w:t></w:t>
                                </w:r>
                              </w:p>
                            </w:txbxContent>
                          </v:textbox>
                        </v:rect>
                        <v:rect id="Rectangle 36" o:spid="_x0000_s1056" style="position:absolute;left:1067;top:208;width:43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AB5450" w:rsidRDefault="00AB5450" w:rsidP="00B338DD">
                                <w:r>
                                  <w:rPr>
                                    <w:rFonts w:ascii="Times" w:hAnsi="Times" w:cs="Times"/>
                                    <w:i/>
                                    <w:iCs/>
                                    <w:color w:val="000000"/>
                                    <w:sz w:val="24"/>
                                    <w:szCs w:val="24"/>
                                    <w:lang w:val="en-US"/>
                                  </w:rPr>
                                  <w:t>Log</w:t>
                                </w:r>
                              </w:p>
                            </w:txbxContent>
                          </v:textbox>
                        </v:rect>
                        <v:rect id="Rectangle 37" o:spid="_x0000_s1057" style="position:absolute;left:1527;top:56;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58MMA&#10;AADbAAAADwAAAGRycy9kb3ducmV2LnhtbESP0WoCMRRE3wv+Q7iCbzW7RRZdjaIFsRR80PYDLpvr&#10;ZnVzsyZRt3/fFAo+DjNzhlmsetuKO/nQOFaQjzMQxJXTDdcKvr+2r1MQISJrbB2Tgh8KsFoOXhZY&#10;avfgA92PsRYJwqFEBSbGrpQyVIYshrHriJN3ct5iTNLXUnt8JLht5VuWFdJiw2nBYEfvhqrL8WYV&#10;0GZ3mJ3Xweylz0O+/yxmk91VqdGwX89BROrjM/zf/tAKigL+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S58MMAAADbAAAADwAAAAAAAAAAAAAAAACYAgAAZHJzL2Rv&#10;d25yZXYueG1sUEsFBgAAAAAEAAQA9QAAAIgDAAAAAA==&#10;" filled="f" stroked="f">
                          <v:textbox inset="0,0,0,0">
                            <w:txbxContent>
                              <w:p w:rsidR="00AB5450" w:rsidRPr="00D6160C"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38" o:spid="_x0000_s1058" style="position:absolute;left:2104;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AB5450" w:rsidRDefault="00AB5450" w:rsidP="00B338DD">
                                <w:r>
                                  <w:rPr>
                                    <w:rFonts w:ascii="Times" w:hAnsi="Times" w:cs="Times"/>
                                    <w:color w:val="000000"/>
                                    <w:sz w:val="24"/>
                                    <w:szCs w:val="24"/>
                                    <w:lang w:val="en-US"/>
                                  </w:rPr>
                                  <w:t>*</w:t>
                                </w:r>
                              </w:p>
                            </w:txbxContent>
                          </v:textbox>
                        </v:rect>
                        <v:rect id="Rectangle 39" o:spid="_x0000_s1059" style="position:absolute;left:2234;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AB5450" w:rsidRDefault="00AB5450" w:rsidP="00B338DD">
                                <w:r>
                                  <w:rPr>
                                    <w:rFonts w:ascii="Times" w:hAnsi="Times" w:cs="Times"/>
                                    <w:color w:val="000000"/>
                                    <w:sz w:val="24"/>
                                    <w:szCs w:val="24"/>
                                    <w:lang w:val="en-US"/>
                                  </w:rPr>
                                  <w:t>10</w:t>
                                </w:r>
                              </w:p>
                            </w:txbxContent>
                          </v:textbox>
                        </v:rect>
                        <v:rect id="Rectangle 40" o:spid="_x0000_s1060" style="position:absolute;left:2494;top:38;width:405;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AB5450" w:rsidRDefault="00AB5450" w:rsidP="00B338DD">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
                            </w:txbxContent>
                          </v:textbox>
                        </v:rect>
                        <v:rect id="Rectangle 41" o:spid="_x0000_s1061" style="position:absolute;left:2895;top:28;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AB5450" w:rsidRDefault="00AB5450" w:rsidP="00B338DD">
                                <w:r>
                                  <w:rPr>
                                    <w:rFonts w:ascii="Symbol" w:hAnsi="Symbol" w:cs="Symbol"/>
                                    <w:color w:val="000000"/>
                                    <w:sz w:val="24"/>
                                    <w:szCs w:val="24"/>
                                    <w:lang w:val="en-US"/>
                                  </w:rPr>
                                  <w:t></w:t>
                                </w:r>
                              </w:p>
                            </w:txbxContent>
                          </v:textbox>
                        </v:rect>
                        <v:rect id="Rectangle 42" o:spid="_x0000_s1062" style="position:absolute;left:3102;top:49;width:47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AB5450" w:rsidRPr="00E03A8E"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rect id="Rectangle 43" o:spid="_x0000_s1063" style="position:absolute;left:3536;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AB5450" w:rsidRDefault="00AB5450" w:rsidP="00B338DD">
                                <w:r>
                                  <w:rPr>
                                    <w:rFonts w:ascii="Times" w:hAnsi="Times" w:cs="Times"/>
                                    <w:color w:val="000000"/>
                                    <w:sz w:val="24"/>
                                    <w:szCs w:val="24"/>
                                    <w:lang w:val="en-US"/>
                                  </w:rPr>
                                  <w:t>*</w:t>
                                </w:r>
                              </w:p>
                            </w:txbxContent>
                          </v:textbox>
                        </v:rect>
                        <v:rect id="Rectangle 44" o:spid="_x0000_s1064" style="position:absolute;left:3656;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AB5450" w:rsidRDefault="00AB5450" w:rsidP="00B338DD">
                                <w:r>
                                  <w:rPr>
                                    <w:rFonts w:ascii="Times" w:hAnsi="Times" w:cs="Times"/>
                                    <w:color w:val="000000"/>
                                    <w:sz w:val="24"/>
                                    <w:szCs w:val="24"/>
                                    <w:lang w:val="en-US"/>
                                  </w:rPr>
                                  <w:t>10</w:t>
                                </w:r>
                              </w:p>
                            </w:txbxContent>
                          </v:textbox>
                        </v:rect>
                        <v:rect id="Rectangle 45" o:spid="_x0000_s1065" style="position:absolute;left:3916;top:38;width:344;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AB5450" w:rsidRPr="00E03A8E" w:rsidRDefault="00AB5450" w:rsidP="00B338DD">
                                <w:pPr>
                                  <w:rPr>
                                    <w:rFonts w:ascii="Times" w:hAnsi="Times" w:cs="Times"/>
                                    <w:i/>
                                    <w:iCs/>
                                    <w:color w:val="000000"/>
                                    <w:sz w:val="14"/>
                                    <w:szCs w:val="14"/>
                                    <w:lang w:val="en-US"/>
                                  </w:rPr>
                                </w:pPr>
                                <w:r>
                                  <w:rPr>
                                    <w:rFonts w:ascii="Times" w:hAnsi="Times" w:cs="Times"/>
                                    <w:i/>
                                    <w:iCs/>
                                    <w:color w:val="000000"/>
                                    <w:sz w:val="14"/>
                                    <w:szCs w:val="14"/>
                                    <w:lang w:val="en-US"/>
                                  </w:rPr>
                                  <w:t>pH</w:t>
                                </w:r>
                                <w:r w:rsidRPr="00E03A8E">
                                  <w:rPr>
                                    <w:rFonts w:ascii="Times" w:hAnsi="Times" w:cs="Times"/>
                                    <w:i/>
                                    <w:iCs/>
                                    <w:color w:val="000000"/>
                                    <w:sz w:val="14"/>
                                    <w:szCs w:val="14"/>
                                    <w:lang w:val="en-US"/>
                                  </w:rPr>
                                  <w:t>_р</w:t>
                                </w:r>
                              </w:p>
                            </w:txbxContent>
                          </v:textbox>
                        </v:rect>
                        <v:rect id="Rectangle 46" o:spid="_x0000_s1066" style="position:absolute;left:2719;top:367;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AB5450" w:rsidRDefault="00AB5450" w:rsidP="00B338DD">
                                <w:r>
                                  <w:rPr>
                                    <w:rFonts w:ascii="Symbol" w:hAnsi="Symbol" w:cs="Symbol"/>
                                    <w:color w:val="000000"/>
                                    <w:sz w:val="24"/>
                                    <w:szCs w:val="24"/>
                                    <w:lang w:val="en-US"/>
                                  </w:rPr>
                                  <w:t></w:t>
                                </w:r>
                              </w:p>
                            </w:txbxContent>
                          </v:textbox>
                        </v:rect>
                        <v:line id="Line 47" o:spid="_x0000_s1067" style="position:absolute;visibility:visible;mso-wrap-style:square" from="1517,365" to="422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E7x8QAAADbAAAADwAAAGRycy9kb3ducmV2LnhtbESPzWrDMBCE74W+g9hCb43cHJLgRg6l&#10;JNQ9xvbFt621/qHWykhK4ubpo0Chx2FmvmG2u9mM4kzOD5YVvC4SEMSN1QN3Cqry8LIB4QOyxtEy&#10;KfglD7vs8WGLqbYXPtK5CJ2IEPYpKuhDmFIpfdOTQb+wE3H0WusMhihdJ7XDS4SbUS6TZCUNDhwX&#10;epzoo6fmpzgZBde83Fd1/nn8rq51+WUL79btRqnnp/n9DUSgOfyH/9q5VrBewf1L/AE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TvHxAAAANsAAAAPAAAAAAAAAAAA&#10;AAAAAKECAABkcnMvZG93bnJldi54bWxQSwUGAAAAAAQABAD5AAAAkgMAAAAA&#10;" strokeweight="28e-5mm"/>
                        <v:rect id="Rectangle 48" o:spid="_x0000_s1068" style="position:absolute;left:1427;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49" o:spid="_x0000_s1069" style="position:absolute;left:1427;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50" o:spid="_x0000_s1070" style="position:absolute;left:1427;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51" o:spid="_x0000_s1071" style="position:absolute;left:4215;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52" o:spid="_x0000_s1072" style="position:absolute;left:4215;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53" o:spid="_x0000_s1073" style="position:absolute;left:4215;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54" o:spid="_x0000_s1074" style="position:absolute;left:2941;top:380;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k5sMA&#10;AADbAAAADwAAAGRycy9kb3ducmV2LnhtbESPUWvCMBSF3wX/Q7iCb5p2iGhnLN1gKAMfdPsBl+au&#10;qTY3XZJp9++XgeDj4ZzzHc6mHGwnruRD61hBPs9AENdOt9wo+Px4m61AhIissXNMCn4pQLkdjzZY&#10;aHfjI11PsREJwqFABSbGvpAy1IYshrnriZP35bzFmKRvpPZ4S3DbyacsW0qLLacFgz29Gqovpx+r&#10;gF52x/W5CuYgfR7yw/tyvdh9KzWdDNUziEhDfITv7b1WsFrA/5f0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Zk5sMAAADbAAAADwAAAAAAAAAAAAAAAACYAgAAZHJzL2Rv&#10;d25yZXYueG1sUEsFBgAAAAAEAAQA9QAAAIgDAAAAAA==&#10;" filled="f" stroked="f">
                          <v:textbox inset="0,0,0,0">
                            <w:txbxContent>
                              <w:p w:rsidR="00AB5450" w:rsidRPr="00D6160C"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55" o:spid="_x0000_s1075" style="position:absolute;left:2212;top:379;width:470;height:3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BfcMA&#10;AADbAAAADwAAAGRycy9kb3ducmV2LnhtbESP0WoCMRRE3wX/IVyhb5rd0oquRrFCsRR80PoBl811&#10;s7q5WZOo279vBKGPw8ycYebLzjbiRj7UjhXkowwEcel0zZWCw8/ncAIiRGSNjWNS8EsBlot+b46F&#10;dnfe0W0fK5EgHApUYGJsCylDachiGLmWOHlH5y3GJH0ltcd7gttGvmbZWFqsOS0YbGltqDzvr1YB&#10;fWx209MqmK30eci33+Pp2+ai1MugW81AROrif/jZ/tIKJu/w+J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rBfcMAAADbAAAADwAAAAAAAAAAAAAAAACYAgAAZHJzL2Rv&#10;d25yZXYueG1sUEsFBgAAAAAEAAQA9QAAAIgDAAAAAA==&#10;" filled="f" stroked="f">
                          <v:textbox inset="0,0,0,0">
                            <w:txbxContent>
                              <w:p w:rsidR="00AB5450" w:rsidRPr="00E03A8E"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group>
                      <w10:anchorlock/>
                    </v:group>
                  </w:pict>
                </mc:Fallback>
              </mc:AlternateContent>
            </w:r>
            <w:r w:rsidR="008D6E9B" w:rsidRPr="00703017">
              <w:rPr>
                <w:rFonts w:ascii="Times New Roman" w:hAnsi="Times New Roman" w:cs="Times New Roman"/>
                <w:i/>
                <w:iCs/>
                <w:position w:val="-48"/>
                <w:lang w:val="bg-BG"/>
              </w:rPr>
              <w:t>(Eq 1)</w:t>
            </w:r>
          </w:p>
          <w:p w:rsidR="008D6E9B" w:rsidRPr="00703017" w:rsidRDefault="008D6E9B" w:rsidP="009D4C75">
            <w:pPr>
              <w:tabs>
                <w:tab w:val="left" w:pos="1701"/>
              </w:tabs>
              <w:spacing w:before="60" w:after="60" w:line="240" w:lineRule="auto"/>
              <w:ind w:left="720"/>
              <w:jc w:val="both"/>
              <w:rPr>
                <w:rFonts w:ascii="Arial" w:hAnsi="Arial" w:cs="Arial"/>
                <w:sz w:val="16"/>
                <w:szCs w:val="16"/>
                <w:lang w:val="bg-BG" w:eastAsia="de-DE"/>
              </w:rPr>
            </w:pPr>
            <w:r w:rsidRPr="00703017">
              <w:rPr>
                <w:rFonts w:ascii="Arial" w:hAnsi="Arial" w:cs="Arial"/>
                <w:sz w:val="16"/>
                <w:szCs w:val="16"/>
                <w:lang w:val="bg-BG"/>
              </w:rPr>
              <w:t>Където:</w:t>
            </w:r>
          </w:p>
          <w:p w:rsidR="008D6E9B" w:rsidRPr="00703017" w:rsidRDefault="008D6E9B" w:rsidP="009D4C75">
            <w:pPr>
              <w:tabs>
                <w:tab w:val="left" w:pos="1701"/>
              </w:tabs>
              <w:spacing w:before="60" w:after="60" w:line="240" w:lineRule="auto"/>
              <w:ind w:left="720"/>
              <w:jc w:val="both"/>
              <w:rPr>
                <w:rFonts w:ascii="Arial" w:hAnsi="Arial" w:cs="Arial"/>
                <w:sz w:val="16"/>
                <w:szCs w:val="16"/>
                <w:lang w:val="bg-BG" w:eastAsia="de-DE"/>
              </w:rPr>
            </w:pPr>
            <w:r w:rsidRPr="00703017">
              <w:rPr>
                <w:rFonts w:ascii="Arial" w:hAnsi="Arial" w:cs="Arial"/>
                <w:sz w:val="16"/>
                <w:szCs w:val="16"/>
                <w:lang w:val="bg-BG"/>
              </w:rPr>
              <w:t>Q_ов се отнася до отпадния поток (в m³/ден)</w:t>
            </w:r>
          </w:p>
          <w:p w:rsidR="008D6E9B" w:rsidRPr="00703017" w:rsidRDefault="008D6E9B" w:rsidP="009D4C75">
            <w:pPr>
              <w:tabs>
                <w:tab w:val="left" w:pos="1701"/>
              </w:tabs>
              <w:spacing w:before="60" w:after="60" w:line="240" w:lineRule="auto"/>
              <w:ind w:left="720"/>
              <w:jc w:val="both"/>
              <w:rPr>
                <w:rFonts w:ascii="Arial" w:hAnsi="Arial" w:cs="Arial"/>
                <w:sz w:val="16"/>
                <w:szCs w:val="16"/>
                <w:lang w:val="bg-BG" w:eastAsia="de-DE"/>
              </w:rPr>
            </w:pPr>
            <w:r w:rsidRPr="00703017">
              <w:rPr>
                <w:rFonts w:ascii="Arial" w:hAnsi="Arial" w:cs="Arial"/>
                <w:sz w:val="16"/>
                <w:szCs w:val="16"/>
                <w:lang w:val="bg-BG"/>
              </w:rPr>
              <w:t>Q_р се отнася до поток на реката нагоре по течението(в m³/ден)</w:t>
            </w:r>
          </w:p>
          <w:p w:rsidR="008D6E9B" w:rsidRPr="00703017" w:rsidRDefault="008D6E9B" w:rsidP="009D4C75">
            <w:pPr>
              <w:tabs>
                <w:tab w:val="left" w:pos="1701"/>
              </w:tabs>
              <w:spacing w:before="60" w:after="60" w:line="240" w:lineRule="auto"/>
              <w:ind w:left="720"/>
              <w:jc w:val="both"/>
              <w:rPr>
                <w:rFonts w:ascii="Arial" w:hAnsi="Arial" w:cs="Arial"/>
                <w:sz w:val="16"/>
                <w:szCs w:val="16"/>
                <w:lang w:val="bg-BG" w:eastAsia="de-DE"/>
              </w:rPr>
            </w:pPr>
            <w:r w:rsidRPr="00703017">
              <w:rPr>
                <w:rFonts w:ascii="Arial" w:hAnsi="Arial" w:cs="Arial"/>
                <w:sz w:val="16"/>
                <w:szCs w:val="16"/>
                <w:lang w:val="bg-BG"/>
              </w:rPr>
              <w:t>pH_ов се отнася до pH на отпадните води</w:t>
            </w:r>
          </w:p>
          <w:p w:rsidR="008D6E9B" w:rsidRPr="00703017" w:rsidRDefault="008D6E9B" w:rsidP="009D4C75">
            <w:pPr>
              <w:tabs>
                <w:tab w:val="left" w:pos="1701"/>
              </w:tabs>
              <w:spacing w:before="60" w:after="60" w:line="240" w:lineRule="auto"/>
              <w:ind w:left="720"/>
              <w:jc w:val="both"/>
              <w:rPr>
                <w:rFonts w:ascii="Arial" w:hAnsi="Arial" w:cs="Arial"/>
                <w:sz w:val="16"/>
                <w:szCs w:val="16"/>
                <w:lang w:val="bg-BG" w:eastAsia="de-DE"/>
              </w:rPr>
            </w:pPr>
            <w:r w:rsidRPr="00703017">
              <w:rPr>
                <w:rFonts w:ascii="Arial" w:hAnsi="Arial" w:cs="Arial"/>
                <w:sz w:val="16"/>
                <w:szCs w:val="16"/>
                <w:lang w:val="bg-BG"/>
              </w:rPr>
              <w:t>pH_р се отнася до pH на реката, нагоре по течението от точката на заустване</w:t>
            </w:r>
          </w:p>
          <w:p w:rsidR="008D6E9B" w:rsidRPr="00703017" w:rsidRDefault="008D6E9B" w:rsidP="009D4C75">
            <w:pPr>
              <w:tabs>
                <w:tab w:val="left" w:pos="1701"/>
              </w:tabs>
              <w:spacing w:before="60" w:after="60" w:line="240" w:lineRule="auto"/>
              <w:ind w:left="720"/>
              <w:jc w:val="both"/>
              <w:rPr>
                <w:rFonts w:ascii="Arial" w:hAnsi="Arial" w:cs="Arial"/>
                <w:sz w:val="16"/>
                <w:szCs w:val="16"/>
                <w:lang w:val="bg-BG" w:eastAsia="de-DE"/>
              </w:rPr>
            </w:pPr>
            <w:r w:rsidRPr="00703017">
              <w:rPr>
                <w:rFonts w:ascii="Arial" w:hAnsi="Arial" w:cs="Arial"/>
                <w:sz w:val="16"/>
                <w:szCs w:val="16"/>
                <w:lang w:val="bg-BG"/>
              </w:rPr>
              <w:t>Моля обърнете внимание, че първоначално могат да се използват стойности по презумпция:</w:t>
            </w:r>
          </w:p>
          <w:p w:rsidR="008D6E9B" w:rsidRPr="00703017" w:rsidRDefault="008D6E9B"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3017">
              <w:rPr>
                <w:rFonts w:ascii="Arial" w:hAnsi="Arial" w:cs="Arial"/>
                <w:sz w:val="16"/>
                <w:szCs w:val="16"/>
                <w:lang w:val="bg-BG"/>
              </w:rPr>
              <w:t>Q-р нагоре по течението: използвайте 1/10 от дистрибуцията по съществуващите измервания или по презумпция стойността 18</w:t>
            </w:r>
            <w:r w:rsidRPr="00526109">
              <w:rPr>
                <w:rFonts w:ascii="Arial" w:hAnsi="Arial" w:cs="Arial"/>
                <w:sz w:val="16"/>
                <w:szCs w:val="16"/>
                <w:lang w:val="bg-BG"/>
              </w:rPr>
              <w:t xml:space="preserve"> </w:t>
            </w:r>
            <w:r w:rsidRPr="00703017">
              <w:rPr>
                <w:rFonts w:ascii="Arial" w:hAnsi="Arial" w:cs="Arial"/>
                <w:sz w:val="16"/>
                <w:szCs w:val="16"/>
                <w:lang w:val="bg-BG"/>
              </w:rPr>
              <w:t>000 m³/ден</w:t>
            </w:r>
          </w:p>
          <w:p w:rsidR="008D6E9B" w:rsidRPr="00703017" w:rsidRDefault="008D6E9B"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3017">
              <w:rPr>
                <w:rFonts w:ascii="Arial" w:hAnsi="Arial" w:cs="Arial"/>
                <w:sz w:val="16"/>
                <w:szCs w:val="16"/>
                <w:lang w:val="bg-BG"/>
              </w:rPr>
              <w:t>Q_ов: използвайте по презумпция стойността 2000 m³/ден</w:t>
            </w:r>
          </w:p>
          <w:p w:rsidR="008D6E9B" w:rsidRPr="00703017" w:rsidRDefault="008D6E9B"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3017">
              <w:rPr>
                <w:rFonts w:ascii="Arial" w:hAnsi="Arial" w:cs="Arial"/>
                <w:sz w:val="16"/>
                <w:szCs w:val="16"/>
                <w:lang w:val="bg-BG"/>
              </w:rPr>
              <w:t>pH_р за предпочитане се измерва. Ако няма измервания, приемете неутрално pH = 7, ако това е оправдано.</w:t>
            </w:r>
          </w:p>
          <w:p w:rsidR="008D6E9B" w:rsidRPr="00703017" w:rsidRDefault="008D6E9B" w:rsidP="009D4C75">
            <w:pPr>
              <w:tabs>
                <w:tab w:val="left" w:pos="1701"/>
              </w:tabs>
              <w:spacing w:before="60" w:after="60" w:line="240" w:lineRule="auto"/>
              <w:jc w:val="both"/>
              <w:rPr>
                <w:rFonts w:ascii="Arial" w:hAnsi="Arial" w:cs="Arial"/>
                <w:sz w:val="16"/>
                <w:szCs w:val="16"/>
                <w:lang w:val="bg-BG" w:eastAsia="de-DE"/>
              </w:rPr>
            </w:pPr>
            <w:r w:rsidRPr="00703017">
              <w:rPr>
                <w:rFonts w:ascii="Arial" w:hAnsi="Arial" w:cs="Arial"/>
                <w:sz w:val="16"/>
                <w:szCs w:val="16"/>
                <w:lang w:val="bg-BG"/>
              </w:rPr>
              <w:t>Такъв вид изчисления трябва да се разглеждат като най-лош сценарий, когато водните условия са стандартни и в случая няма нищо специфично.</w:t>
            </w:r>
          </w:p>
          <w:p w:rsidR="008D6E9B" w:rsidRPr="00703017" w:rsidRDefault="008D6E9B"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2б</w:t>
            </w:r>
            <w:r w:rsidRPr="00703017">
              <w:rPr>
                <w:rFonts w:ascii="Arial" w:hAnsi="Arial" w:cs="Arial"/>
                <w:sz w:val="16"/>
                <w:szCs w:val="16"/>
                <w:lang w:val="bg-BG"/>
              </w:rPr>
              <w:t xml:space="preserve">: Изчисление 1 (Eq 1) може де се използва за определяне на това, кой pH на обратните води до непоносими нива на pH в приемника. За целта, pH на реката се прима за 9, а pH на отходните води съответно се изчислява (с използването на стойностите по презумпция, както бе показано по-горе, ако това се налага). Тъй като температурата оказва влияние на разтворимостта на варта, pH на отходните води може да се наложи да се наглася според случая. След като се установи максималната допустима стойност на pH в отходните води, се приема че всички концентрации на OH се дължат на изпускане на вар и не съществуват условия на буферен капацитет, които заслужават внимание (това е един нереалистичен най-лош сценарий, който може да бъде усъвършенстван при наличие на някаква допълнителна информация). Максималното количество вар, което може да бъде изпуснато годишно, без това отрицателно да повлияе стойностите на pH в приемащите води се изчислява, като се приеме наличието на химическо равновесие. OH, изразено в молове/литри, се умножава по средния поток на отпадните води и след това се дели на моларната маса на </w:t>
            </w:r>
            <w:r w:rsidRPr="0070774F">
              <w:rPr>
                <w:rFonts w:ascii="Arial" w:hAnsi="Arial" w:cs="Arial"/>
                <w:sz w:val="16"/>
                <w:szCs w:val="16"/>
                <w:lang w:val="bg-BG"/>
              </w:rPr>
              <w:t>CaO.</w:t>
            </w:r>
          </w:p>
          <w:p w:rsidR="008D6E9B" w:rsidRPr="00703017" w:rsidRDefault="008D6E9B"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3</w:t>
            </w:r>
            <w:r w:rsidRPr="00703017">
              <w:rPr>
                <w:rFonts w:ascii="Arial" w:hAnsi="Arial" w:cs="Arial"/>
                <w:sz w:val="16"/>
                <w:szCs w:val="16"/>
                <w:lang w:val="bg-BG"/>
              </w:rPr>
              <w:t>: измерете pH на приемащите води след точката на заустване. Ако pH е под 9, това разумно демонстрира безопасно ползване, с което ES приключва. Ако pH се окаже над 9, тогава се налага прилагане на мерки за управление на риска: отпадните води трябва да преминат през неутрализация, като с това се осигурява безопасно използване на варта във фазите на производство и потребление.</w:t>
            </w:r>
          </w:p>
          <w:p w:rsidR="008D6E9B" w:rsidRPr="00703017" w:rsidRDefault="001D5CEE" w:rsidP="009D4C75">
            <w:pPr>
              <w:tabs>
                <w:tab w:val="left" w:pos="1701"/>
              </w:tabs>
              <w:spacing w:before="60" w:after="60" w:line="240" w:lineRule="auto"/>
              <w:jc w:val="both"/>
              <w:rPr>
                <w:rFonts w:ascii="Arial" w:hAnsi="Arial" w:cs="Arial"/>
                <w:sz w:val="20"/>
                <w:szCs w:val="20"/>
                <w:lang w:val="bg-BG" w:eastAsia="de-DE"/>
              </w:rPr>
            </w:pPr>
            <w:r>
              <w:rPr>
                <w:rFonts w:ascii="Arial" w:hAnsi="Arial" w:cs="Arial"/>
                <w:noProof/>
                <w:sz w:val="20"/>
                <w:szCs w:val="20"/>
                <w:lang w:val="bg-BG" w:eastAsia="bg-BG"/>
              </w:rPr>
              <w:lastRenderedPageBreak/>
              <w:drawing>
                <wp:inline distT="0" distB="0" distL="0" distR="0">
                  <wp:extent cx="5000625" cy="7258050"/>
                  <wp:effectExtent l="0" t="0" r="9525" b="0"/>
                  <wp:docPr id="2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0625" cy="7258050"/>
                          </a:xfrm>
                          <a:prstGeom prst="rect">
                            <a:avLst/>
                          </a:prstGeom>
                          <a:noFill/>
                          <a:ln>
                            <a:noFill/>
                          </a:ln>
                        </pic:spPr>
                      </pic:pic>
                    </a:graphicData>
                  </a:graphic>
                </wp:inline>
              </w:drawing>
            </w:r>
          </w:p>
        </w:tc>
      </w:tr>
    </w:tbl>
    <w:p w:rsidR="008D6E9B" w:rsidRPr="00703017" w:rsidRDefault="008D6E9B" w:rsidP="00C66AFE">
      <w:pPr>
        <w:keepNext/>
        <w:pageBreakBefore/>
        <w:tabs>
          <w:tab w:val="left" w:pos="1418"/>
        </w:tabs>
        <w:spacing w:before="240" w:after="60"/>
        <w:outlineLvl w:val="1"/>
        <w:rPr>
          <w:rFonts w:ascii="Arial" w:hAnsi="Arial" w:cs="Arial"/>
          <w:b/>
          <w:bCs/>
          <w:sz w:val="28"/>
          <w:szCs w:val="28"/>
          <w:lang w:val="bg-BG"/>
        </w:rPr>
      </w:pPr>
      <w:bookmarkStart w:id="10" w:name="_Toc270425134"/>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3: Производство и промишлена употреба на средно прашни твърди/прахообразни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bookmarkEnd w:id="10"/>
    </w:p>
    <w:tbl>
      <w:tblPr>
        <w:tblW w:w="0" w:type="auto"/>
        <w:jc w:val="center"/>
        <w:tblCellMar>
          <w:left w:w="70" w:type="dxa"/>
          <w:right w:w="70" w:type="dxa"/>
        </w:tblCellMar>
        <w:tblLook w:val="00A0" w:firstRow="1" w:lastRow="0" w:firstColumn="1" w:lastColumn="0" w:noHBand="0" w:noVBand="0"/>
      </w:tblPr>
      <w:tblGrid>
        <w:gridCol w:w="1555"/>
        <w:gridCol w:w="2572"/>
        <w:gridCol w:w="1442"/>
        <w:gridCol w:w="1627"/>
        <w:gridCol w:w="1856"/>
      </w:tblGrid>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D6E9B" w:rsidRPr="0070774F">
        <w:trPr>
          <w:trHeight w:val="315"/>
          <w:jc w:val="center"/>
        </w:trPr>
        <w:tc>
          <w:tcPr>
            <w:tcW w:w="0" w:type="auto"/>
            <w:tcBorders>
              <w:top w:val="nil"/>
              <w:left w:val="single" w:sz="8" w:space="0" w:color="auto"/>
              <w:bottom w:val="single" w:sz="4" w:space="0" w:color="auto"/>
              <w:right w:val="single" w:sz="4" w:space="0" w:color="auto"/>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4"/>
            <w:tcBorders>
              <w:top w:val="single" w:sz="8" w:space="0" w:color="auto"/>
              <w:left w:val="single" w:sz="4" w:space="0" w:color="auto"/>
              <w:bottom w:val="single" w:sz="4" w:space="0" w:color="auto"/>
              <w:right w:val="single" w:sz="8"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Производство и промишлена употреба на средно запрашени твърди/прахообразни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D6E9B" w:rsidRPr="0070774F">
        <w:trPr>
          <w:trHeight w:val="1349"/>
          <w:jc w:val="center"/>
        </w:trPr>
        <w:tc>
          <w:tcPr>
            <w:tcW w:w="0" w:type="auto"/>
            <w:tcBorders>
              <w:top w:val="single" w:sz="4" w:space="0" w:color="auto"/>
              <w:left w:val="single" w:sz="8" w:space="0" w:color="auto"/>
              <w:bottom w:val="single" w:sz="4" w:space="0" w:color="auto"/>
              <w:right w:val="single" w:sz="4" w:space="0" w:color="auto"/>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SU3, SU1, SU2a, SU2b, SU4, SU5, SU6a, SU6b, SU7, SU8, SU9, SU10, SU11, SU12, SU13, SU14, SU15, SU16, SU17, SU18, SU19, SU20, SU23, SU24</w:t>
            </w:r>
            <w:r w:rsidRPr="00703017">
              <w:rPr>
                <w:lang w:val="bg-BG"/>
              </w:rPr>
              <w:br/>
            </w:r>
            <w:r w:rsidRPr="00703017">
              <w:rPr>
                <w:rFonts w:ascii="Arial" w:hAnsi="Arial" w:cs="Arial"/>
                <w:sz w:val="16"/>
                <w:szCs w:val="16"/>
                <w:lang w:val="bg-BG"/>
              </w:rPr>
              <w:t>PC1, PC2, PC3, PC7, PC8, PC9a, PC9b, PC11, PC12, PC13, PC14, PC15, PC16, PC17, PC18, PC19, PC20, PC21, PC23, PC24, PC25, PC26, PC27, PC28, PC29, PC30, PC31, PC32, PC33, PC34, PC35, PC36, PC37, PC38, PC39, PC40</w:t>
            </w:r>
            <w:r w:rsidRPr="00703017">
              <w:rPr>
                <w:lang w:val="bg-BG"/>
              </w:rPr>
              <w:br/>
            </w:r>
            <w:r w:rsidRPr="00703017">
              <w:rPr>
                <w:rFonts w:ascii="Arial" w:hAnsi="Arial" w:cs="Arial"/>
                <w:sz w:val="16"/>
                <w:szCs w:val="16"/>
                <w:lang w:val="bg-BG"/>
              </w:rPr>
              <w:t>AC1, AC2, AC3, AC4, AC5, AC6, AC7, AC8, AC10, AC11, AC13</w:t>
            </w:r>
          </w:p>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D6E9B" w:rsidRPr="0070774F">
        <w:trPr>
          <w:trHeight w:val="525"/>
          <w:jc w:val="center"/>
        </w:trPr>
        <w:tc>
          <w:tcPr>
            <w:tcW w:w="0" w:type="auto"/>
            <w:tcBorders>
              <w:top w:val="single" w:sz="4" w:space="0" w:color="auto"/>
              <w:left w:val="single" w:sz="8" w:space="0" w:color="auto"/>
              <w:bottom w:val="single" w:sz="4" w:space="0" w:color="auto"/>
              <w:right w:val="single" w:sz="4" w:space="0" w:color="auto"/>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D6E9B" w:rsidRPr="0070774F">
        <w:trPr>
          <w:trHeight w:val="444"/>
          <w:jc w:val="center"/>
        </w:trPr>
        <w:tc>
          <w:tcPr>
            <w:tcW w:w="0" w:type="auto"/>
            <w:tcBorders>
              <w:top w:val="single" w:sz="4" w:space="0" w:color="auto"/>
              <w:left w:val="single" w:sz="8" w:space="0" w:color="auto"/>
              <w:bottom w:val="single" w:sz="8" w:space="0" w:color="auto"/>
              <w:right w:val="single" w:sz="4" w:space="0" w:color="auto"/>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4"/>
            <w:tcBorders>
              <w:top w:val="single" w:sz="4" w:space="0" w:color="auto"/>
              <w:left w:val="single" w:sz="4" w:space="0" w:color="auto"/>
              <w:bottom w:val="single" w:sz="8" w:space="0" w:color="auto"/>
              <w:right w:val="single" w:sz="8"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D6E9B" w:rsidRPr="00703017">
        <w:trPr>
          <w:trHeight w:val="315"/>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PROC/ERC</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0" w:type="auto"/>
            <w:gridSpan w:val="2"/>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процес, няма вероятност от експозиция</w:t>
            </w:r>
          </w:p>
        </w:tc>
        <w:tc>
          <w:tcPr>
            <w:tcW w:w="0" w:type="auto"/>
            <w:gridSpan w:val="2"/>
            <w:vMerge w:val="restart"/>
            <w:tcBorders>
              <w:top w:val="single" w:sz="4" w:space="0" w:color="000000"/>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Повече информация е представена в Ръководството ECHA за информационните изисквания и оценка на безопасността на химичните вещаства, Глава R.12: Дескрипторна система на употребите (ECHA-2010-G-05-EN).</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непрекъснат процес със случайно контролирана експозиция</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3</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периодичен процес (синтез или формулиране)</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4</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периодичен или друг процес (синтез), където се появява възможност за експозиция</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5</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Смесване или блендиране в периодичен процес за формулиране на препарати и изделия (многостепенен и/или значителен контакт)</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7</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Пулверизиране в промишлена среда</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8a</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общи съоръжения</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8b</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специални съоръжения</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9</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в малки контейнери (специална линия за пълнене, включително претегляне)</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10</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Нанасяне с валяк или с четка</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13</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Третиране на изделия при боядисване чрез потапяне и изливане</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14</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на препарати или изделия чрез таблетиране, компресия, екструдиране, пелетиране</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15</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лабораторни реагенти</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16</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материал като горивен източник, очаква се ограничена експозиция към неизгорял продукт</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Смазване при високо енергийни условия и в частично открит процес</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18</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Гресиране при високо енергийни условия</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Ръчно смесване с близък контакт и налични само ЛПС</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auto"/>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22</w:t>
            </w:r>
          </w:p>
        </w:tc>
        <w:tc>
          <w:tcPr>
            <w:tcW w:w="0" w:type="auto"/>
            <w:gridSpan w:val="2"/>
            <w:tcBorders>
              <w:top w:val="single" w:sz="4" w:space="0" w:color="000000"/>
              <w:left w:val="nil"/>
              <w:bottom w:val="single" w:sz="4" w:space="0" w:color="auto"/>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Потенциално закрити обработващи операции с минерали/метали при повишена температура </w:t>
            </w:r>
            <w:r w:rsidRPr="00703017">
              <w:rPr>
                <w:lang w:val="bg-BG"/>
              </w:rPr>
              <w:br/>
            </w:r>
            <w:r w:rsidRPr="00703017">
              <w:rPr>
                <w:rFonts w:ascii="Arial" w:hAnsi="Arial" w:cs="Arial"/>
                <w:sz w:val="16"/>
                <w:szCs w:val="16"/>
                <w:lang w:val="bg-BG"/>
              </w:rPr>
              <w:t>Промишлена обстановка</w:t>
            </w:r>
          </w:p>
        </w:tc>
        <w:tc>
          <w:tcPr>
            <w:tcW w:w="0" w:type="auto"/>
            <w:gridSpan w:val="2"/>
            <w:vMerge/>
            <w:tcBorders>
              <w:left w:val="nil"/>
              <w:bottom w:val="single" w:sz="4" w:space="0" w:color="auto"/>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single" w:sz="4" w:space="0" w:color="auto"/>
              <w:left w:val="single" w:sz="4" w:space="0" w:color="auto"/>
              <w:bottom w:val="single" w:sz="4" w:space="0" w:color="auto"/>
              <w:right w:val="single" w:sz="4" w:space="0" w:color="auto"/>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lastRenderedPageBreak/>
              <w:t>PROC 23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Открита обработка и трансфер с минерали/метали при повишена температура</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24</w:t>
            </w:r>
          </w:p>
        </w:tc>
        <w:tc>
          <w:tcPr>
            <w:tcW w:w="0" w:type="auto"/>
            <w:gridSpan w:val="2"/>
            <w:tcBorders>
              <w:top w:val="single" w:sz="4" w:space="0" w:color="auto"/>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Висока (механична) енергия при обработване на вещества, свързани в материали и/или изделия</w:t>
            </w:r>
          </w:p>
        </w:tc>
        <w:tc>
          <w:tcPr>
            <w:tcW w:w="0" w:type="auto"/>
            <w:gridSpan w:val="2"/>
            <w:vMerge/>
            <w:tcBorders>
              <w:top w:val="single" w:sz="4" w:space="0" w:color="auto"/>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Други горещи работни операции с метали</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auto"/>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26</w:t>
            </w:r>
          </w:p>
        </w:tc>
        <w:tc>
          <w:tcPr>
            <w:tcW w:w="0" w:type="auto"/>
            <w:gridSpan w:val="2"/>
            <w:tcBorders>
              <w:top w:val="single" w:sz="4" w:space="0" w:color="000000"/>
              <w:left w:val="nil"/>
              <w:bottom w:val="single" w:sz="4" w:space="0" w:color="auto"/>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Обработка на твърди неорганични вещества при нормална температура на околната среда</w:t>
            </w:r>
          </w:p>
        </w:tc>
        <w:tc>
          <w:tcPr>
            <w:tcW w:w="0" w:type="auto"/>
            <w:gridSpan w:val="2"/>
            <w:vMerge/>
            <w:tcBorders>
              <w:left w:val="nil"/>
              <w:bottom w:val="single" w:sz="4" w:space="0" w:color="auto"/>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single" w:sz="4" w:space="0" w:color="auto"/>
              <w:left w:val="single" w:sz="8" w:space="0" w:color="auto"/>
              <w:bottom w:val="single" w:sz="4" w:space="0" w:color="auto"/>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27a</w:t>
            </w:r>
          </w:p>
        </w:tc>
        <w:tc>
          <w:tcPr>
            <w:tcW w:w="0" w:type="auto"/>
            <w:gridSpan w:val="2"/>
            <w:tcBorders>
              <w:top w:val="single" w:sz="4" w:space="0" w:color="auto"/>
              <w:left w:val="nil"/>
              <w:bottom w:val="single" w:sz="4" w:space="0" w:color="auto"/>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на метали на прах (гореща обработка)</w:t>
            </w:r>
          </w:p>
        </w:tc>
        <w:tc>
          <w:tcPr>
            <w:tcW w:w="0" w:type="auto"/>
            <w:gridSpan w:val="2"/>
            <w:vMerge/>
            <w:tcBorders>
              <w:top w:val="single" w:sz="4" w:space="0" w:color="auto"/>
              <w:left w:val="nil"/>
              <w:bottom w:val="single" w:sz="4" w:space="0" w:color="auto"/>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single" w:sz="4" w:space="0" w:color="auto"/>
              <w:left w:val="single" w:sz="8" w:space="0" w:color="auto"/>
              <w:bottom w:val="single" w:sz="4" w:space="0" w:color="auto"/>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27b</w:t>
            </w:r>
          </w:p>
        </w:tc>
        <w:tc>
          <w:tcPr>
            <w:tcW w:w="0" w:type="auto"/>
            <w:gridSpan w:val="2"/>
            <w:tcBorders>
              <w:top w:val="single" w:sz="4" w:space="0" w:color="auto"/>
              <w:left w:val="nil"/>
              <w:bottom w:val="single" w:sz="4" w:space="0" w:color="auto"/>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на метали на прах (мокра обработка)</w:t>
            </w:r>
          </w:p>
        </w:tc>
        <w:tc>
          <w:tcPr>
            <w:tcW w:w="0" w:type="auto"/>
            <w:gridSpan w:val="2"/>
            <w:vMerge/>
            <w:tcBorders>
              <w:top w:val="single" w:sz="4" w:space="0" w:color="auto"/>
              <w:left w:val="nil"/>
              <w:bottom w:val="single" w:sz="4" w:space="0" w:color="auto"/>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ERC 1-7, 12</w:t>
            </w:r>
          </w:p>
        </w:tc>
        <w:tc>
          <w:tcPr>
            <w:tcW w:w="0" w:type="auto"/>
            <w:gridSpan w:val="2"/>
            <w:tcBorders>
              <w:top w:val="single" w:sz="4" w:space="0" w:color="auto"/>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формулиране и всички начини на промишлена употреба</w:t>
            </w:r>
          </w:p>
        </w:tc>
        <w:tc>
          <w:tcPr>
            <w:tcW w:w="0" w:type="auto"/>
            <w:gridSpan w:val="2"/>
            <w:vMerge/>
            <w:tcBorders>
              <w:top w:val="single" w:sz="4" w:space="0" w:color="auto"/>
              <w:left w:val="nil"/>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cantSplit/>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 xml:space="preserve">ERC 10, 11 </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Широко дисперсивна употреба на открито и в закрити помещения на изделия и материали с дълъг живот </w:t>
            </w:r>
          </w:p>
        </w:tc>
        <w:tc>
          <w:tcPr>
            <w:tcW w:w="0" w:type="auto"/>
            <w:gridSpan w:val="2"/>
            <w:vMerge/>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2.1 Контрол на експозицията на работниците</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trHeight w:val="84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абразивност се взема предвид нивото й, вместо вътрешно присъщия емисионен потенциал на веществото.</w:t>
            </w:r>
          </w:p>
        </w:tc>
      </w:tr>
      <w:tr w:rsidR="008D6E9B" w:rsidRPr="00703017">
        <w:trPr>
          <w:trHeight w:val="301"/>
          <w:jc w:val="center"/>
        </w:trPr>
        <w:tc>
          <w:tcPr>
            <w:tcW w:w="0" w:type="auto"/>
            <w:tcBorders>
              <w:top w:val="nil"/>
              <w:left w:val="single" w:sz="8" w:space="0" w:color="auto"/>
              <w:bottom w:val="single" w:sz="4" w:space="0" w:color="000000"/>
              <w:right w:val="single" w:sz="4" w:space="0" w:color="auto"/>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 23, 25, 27a</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r w:rsidRPr="00703017">
              <w:rPr>
                <w:lang w:val="bg-BG"/>
              </w:rPr>
              <w:br/>
            </w:r>
            <w:r w:rsidRPr="00703017">
              <w:rPr>
                <w:rFonts w:ascii="Arial" w:hAnsi="Arial" w:cs="Arial"/>
                <w:sz w:val="16"/>
                <w:szCs w:val="16"/>
                <w:lang w:val="bg-BG"/>
              </w:rPr>
              <w:t>разтопени</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24</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среден</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774F">
        <w:trPr>
          <w:trHeight w:val="673"/>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D6E9B" w:rsidRPr="00703017" w:rsidRDefault="008D6E9B" w:rsidP="009D4C75">
            <w:pPr>
              <w:keepNext/>
              <w:spacing w:line="240" w:lineRule="auto"/>
              <w:jc w:val="both"/>
              <w:rPr>
                <w:rFonts w:ascii="Arial" w:hAnsi="Arial" w:cs="Arial"/>
                <w:sz w:val="16"/>
                <w:szCs w:val="16"/>
                <w:lang w:val="bg-BG" w:eastAsia="de-DE"/>
              </w:rPr>
            </w:pPr>
            <w:r w:rsidRPr="00703017">
              <w:rPr>
                <w:rFonts w:ascii="Arial" w:hAnsi="Arial" w:cs="Arial"/>
                <w:sz w:val="16"/>
                <w:szCs w:val="16"/>
                <w:lang w:val="bg-BG"/>
              </w:rPr>
              <w:t>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детерминант на вътрешно присъщия на процеса емисионен потенциал.</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 17, 18, 19, 22</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D6E9B" w:rsidRPr="00703017">
        <w:trPr>
          <w:trHeight w:val="301"/>
          <w:jc w:val="center"/>
        </w:trPr>
        <w:tc>
          <w:tcPr>
            <w:tcW w:w="0" w:type="auto"/>
            <w:tcBorders>
              <w:top w:val="nil"/>
              <w:left w:val="single" w:sz="8" w:space="0" w:color="auto"/>
              <w:bottom w:val="single" w:sz="8"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4"/>
            <w:tcBorders>
              <w:top w:val="single" w:sz="4" w:space="0" w:color="000000"/>
              <w:left w:val="nil"/>
              <w:bottom w:val="single" w:sz="8" w:space="0" w:color="000000"/>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D6E9B" w:rsidRPr="00703017">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D6E9B" w:rsidRPr="00703017">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D6E9B" w:rsidRPr="0070774F">
        <w:trPr>
          <w:cantSplit/>
          <w:trHeight w:val="631"/>
          <w:jc w:val="center"/>
        </w:trPr>
        <w:tc>
          <w:tcPr>
            <w:tcW w:w="0" w:type="auto"/>
            <w:gridSpan w:val="5"/>
            <w:tcBorders>
              <w:top w:val="single" w:sz="4"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Работни условия, като температура и налягане на процеса, се считат за ирелевантни при оценката на професионалната експозиция на извършваните процеси. На етапи на процеса с много висока температура (напр. PROC 22, 23, 25), оценката на експозицията в MEASE обаче се основава и на отношението между температурата на процеса и точката на разтапяне. Тъй като свързаните с процеса температури се различават значително в различните производства, най-високият процент се приема за най-лошия случай на презумпция за целите на оценката на експозицията. По такъв начин всички температури на процеса автоматично се покриват в този сценарий на експозиция за PROC 22, 23 и PROC 25.</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Измервания на ниво процес като елемент на управлението на риска (напр. задържане или сегрегиране на емисионния източник) по принцип не се изискват при процесите.</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Технически условия и мерки за контрол на дисперсията от източника към работника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tcBorders>
              <w:top w:val="nil"/>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tcBorders>
              <w:top w:val="nil"/>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 2, 15, 27b</w:t>
            </w:r>
          </w:p>
        </w:tc>
        <w:tc>
          <w:tcPr>
            <w:tcW w:w="0" w:type="auto"/>
            <w:vMerge w:val="restart"/>
            <w:tcBorders>
              <w:top w:val="single" w:sz="4" w:space="0" w:color="000000"/>
              <w:left w:val="nil"/>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Всяко потенциално налагащо се откъсване на работниците от емисионния източник се включва по-горе под надслова </w:t>
            </w:r>
            <w:r>
              <w:rPr>
                <w:rFonts w:ascii="Arial" w:hAnsi="Arial" w:cs="Arial"/>
                <w:sz w:val="16"/>
                <w:szCs w:val="16"/>
                <w:lang w:val="bg-BG"/>
              </w:rPr>
              <w:t>„</w:t>
            </w:r>
            <w:r w:rsidRPr="00703017">
              <w:rPr>
                <w:rFonts w:ascii="Arial" w:hAnsi="Arial" w:cs="Arial"/>
                <w:sz w:val="16"/>
                <w:szCs w:val="16"/>
                <w:lang w:val="bg-BG"/>
              </w:rPr>
              <w:t>Честота и 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Намаляване на продължителността на експозицията може да се постигне, примерно, чрез инсталиране на вентилирани контролни стаи (позитивно налягане) или чрез извеждане на работника от работното място със съответната експозиция.</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3, 13, 14</w:t>
            </w:r>
          </w:p>
        </w:tc>
        <w:tc>
          <w:tcPr>
            <w:tcW w:w="0" w:type="auto"/>
            <w:vMerge/>
            <w:tcBorders>
              <w:left w:val="nil"/>
              <w:right w:val="single" w:sz="4" w:space="0" w:color="auto"/>
            </w:tcBorders>
            <w:vAlign w:val="center"/>
          </w:tcPr>
          <w:p w:rsidR="008D6E9B" w:rsidRPr="00703017" w:rsidRDefault="008D6E9B" w:rsidP="009D4C75">
            <w:pPr>
              <w:keepNext/>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обща вентилация</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17 %</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vMerge/>
            <w:tcBorders>
              <w:left w:val="nil"/>
              <w:right w:val="single" w:sz="4" w:space="0" w:color="auto"/>
            </w:tcBorders>
            <w:vAlign w:val="center"/>
          </w:tcPr>
          <w:p w:rsidR="008D6E9B" w:rsidRPr="00703017" w:rsidRDefault="008D6E9B" w:rsidP="009D4C75">
            <w:pPr>
              <w:keepNext/>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неприложимо</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Merge/>
            <w:tcBorders>
              <w:left w:val="nil"/>
              <w:bottom w:val="single" w:sz="4" w:space="0" w:color="000000"/>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местна вентилация на отработените газове</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78 %</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отделянията, дисперсията и експозицията</w:t>
            </w:r>
          </w:p>
        </w:tc>
      </w:tr>
      <w:tr w:rsidR="008D6E9B" w:rsidRPr="0070774F">
        <w:trPr>
          <w:trHeight w:val="882"/>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D6E9B" w:rsidRPr="00703017" w:rsidRDefault="008D6E9B" w:rsidP="00526109">
            <w:pPr>
              <w:spacing w:line="240" w:lineRule="auto"/>
              <w:jc w:val="both"/>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смяна. Не носете заразени дрехи вкъщи. Не издухвайте праха с въздух под налягане.</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за лична защита, хигиена и оценка на здравето</w:t>
            </w:r>
          </w:p>
        </w:tc>
      </w:tr>
      <w:tr w:rsidR="008D6E9B" w:rsidRPr="0070774F">
        <w:trPr>
          <w:trHeight w:val="301"/>
          <w:jc w:val="center"/>
        </w:trPr>
        <w:tc>
          <w:tcPr>
            <w:tcW w:w="0" w:type="auto"/>
            <w:tcBorders>
              <w:top w:val="nil"/>
              <w:left w:val="single" w:sz="8" w:space="0" w:color="auto"/>
              <w:bottom w:val="single" w:sz="4" w:space="0" w:color="000000"/>
              <w:right w:val="single" w:sz="4" w:space="0" w:color="auto"/>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 5, 7, 8a, 8b, 9, 10, 16, 17, 18, 19, 22, 24, 27a</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vMerge w:val="restart"/>
            <w:tcBorders>
              <w:left w:val="nil"/>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w:t>
            </w:r>
            <w:r w:rsidRPr="0070774F">
              <w:rPr>
                <w:rFonts w:ascii="Arial" w:hAnsi="Arial" w:cs="Arial"/>
                <w:sz w:val="16"/>
                <w:szCs w:val="16"/>
                <w:lang w:val="bg-BG"/>
              </w:rPr>
              <w:t>като CaO</w:t>
            </w:r>
            <w:r w:rsidRPr="00703017">
              <w:rPr>
                <w:rFonts w:ascii="Arial" w:hAnsi="Arial" w:cs="Arial"/>
                <w:sz w:val="16"/>
                <w:szCs w:val="16"/>
                <w:lang w:val="bg-BG"/>
              </w:rPr>
              <w:t xml:space="preserve"> е класифицирано като дразнещо кожата, задължителна е употребата на защитни ръкавици на всички етапи на процеса.</w:t>
            </w:r>
          </w:p>
        </w:tc>
        <w:tc>
          <w:tcPr>
            <w:tcW w:w="0" w:type="auto"/>
            <w:vMerge w:val="restart"/>
            <w:tcBorders>
              <w:left w:val="single" w:sz="4" w:space="0" w:color="auto"/>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vMerge/>
            <w:tcBorders>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tcBorders>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454"/>
          <w:jc w:val="center"/>
        </w:trPr>
        <w:tc>
          <w:tcPr>
            <w:tcW w:w="0" w:type="auto"/>
            <w:gridSpan w:val="5"/>
            <w:tcBorders>
              <w:top w:val="nil"/>
              <w:left w:val="single" w:sz="8" w:space="0" w:color="auto"/>
              <w:bottom w:val="single" w:sz="8" w:space="0" w:color="auto"/>
              <w:right w:val="single" w:sz="8" w:space="0" w:color="auto"/>
            </w:tcBorders>
            <w:vAlign w:val="center"/>
          </w:tcPr>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D6E9B" w:rsidRPr="00703017" w:rsidRDefault="008D6E9B"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Общ преглед на APF на различните RPE (съгласно BS EN 529:2005) може да се намери в глосара на MEASE.</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2.2 Контрол на експозицията за околната среда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Дневното и годишното количество на обект (за точкови източници) не се счита за основен детерминант на експозицията за околната среда.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Честота и продължителност на употребата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Прекъсваема (&lt; 12 пъти в годината) или непрекъсваема употреба/отделяне</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CCCCC"/>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Скорост на потока на приемащите повърхностни води: 18 000 m³/ден</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Скорос</w:t>
            </w:r>
            <w:r>
              <w:rPr>
                <w:rFonts w:ascii="Arial" w:hAnsi="Arial" w:cs="Arial"/>
                <w:sz w:val="16"/>
                <w:szCs w:val="16"/>
                <w:lang w:val="bg-BG"/>
              </w:rPr>
              <w:t>т на изтичащия отпаден поток: 2</w:t>
            </w:r>
            <w:r w:rsidRPr="00703017">
              <w:rPr>
                <w:rFonts w:ascii="Arial" w:hAnsi="Arial" w:cs="Arial"/>
                <w:sz w:val="16"/>
                <w:szCs w:val="16"/>
                <w:lang w:val="bg-BG"/>
              </w:rPr>
              <w:t>000 m³/ден</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D6E9B" w:rsidRPr="0070774F">
        <w:trPr>
          <w:trHeight w:val="76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Мерките за управление на риска за околната среда целят избягване на изпускания на </w:t>
            </w:r>
            <w:r>
              <w:rPr>
                <w:rFonts w:ascii="Arial" w:hAnsi="Arial" w:cs="Arial"/>
                <w:sz w:val="16"/>
                <w:szCs w:val="16"/>
                <w:lang w:val="bg-BG"/>
              </w:rPr>
              <w:t>варови</w:t>
            </w:r>
            <w:r w:rsidRPr="00703017">
              <w:rPr>
                <w:rFonts w:ascii="Arial" w:hAnsi="Arial" w:cs="Arial"/>
                <w:sz w:val="16"/>
                <w:szCs w:val="16"/>
                <w:lang w:val="bg-BG"/>
              </w:rPr>
              <w:t xml:space="preserve"> разтвори в обществената канализация или в повърхностните води, когато се очаква тези изпускания да доведат до значителни промени на pH. Изисква се редовен контрол на нивото на pH в процеса на въвеждане на индустриалните в природните води. Най-общо изпусканията трябва да се извършват по такъв начин, че промяната в нивото на pH в приемащите повърхностни води да е минимално (напр. чрез неутрализация). По принцип болшинството водни организми могат да понесат стойности на pH в рамките на 6-9. Това е отразено и в </w:t>
            </w:r>
            <w:r>
              <w:rPr>
                <w:rFonts w:ascii="Arial" w:hAnsi="Arial" w:cs="Arial"/>
                <w:sz w:val="16"/>
                <w:szCs w:val="16"/>
                <w:lang w:val="bg-BG"/>
              </w:rPr>
              <w:t>описанието на</w:t>
            </w:r>
            <w:r w:rsidRPr="00703017">
              <w:rPr>
                <w:rFonts w:ascii="Arial" w:hAnsi="Arial" w:cs="Arial"/>
                <w:sz w:val="16"/>
                <w:szCs w:val="16"/>
                <w:lang w:val="bg-BG"/>
              </w:rPr>
              <w:t xml:space="preserve"> стандартни тестове с водни организми OECD. Обосновката на тази мярка за управление на риска може да се намери в уводната част.</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свързани с отпадъците</w:t>
            </w:r>
          </w:p>
        </w:tc>
      </w:tr>
      <w:tr w:rsidR="008D6E9B" w:rsidRPr="0070774F">
        <w:trPr>
          <w:trHeight w:val="356"/>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Твърдит</w:t>
            </w:r>
            <w:r>
              <w:rPr>
                <w:rFonts w:ascii="Arial" w:hAnsi="Arial" w:cs="Arial"/>
                <w:sz w:val="16"/>
                <w:szCs w:val="16"/>
                <w:lang w:val="bg-BG"/>
              </w:rPr>
              <w:t>е промишлени отпадъци от вар</w:t>
            </w:r>
            <w:r w:rsidRPr="00703017">
              <w:rPr>
                <w:rFonts w:ascii="Arial" w:hAnsi="Arial" w:cs="Arial"/>
                <w:sz w:val="16"/>
                <w:szCs w:val="16"/>
                <w:lang w:val="bg-BG"/>
              </w:rPr>
              <w:t xml:space="preserve"> трябва да се рециклират или изхвърлят в промишлените отпадни води и да се неутрализират по-нататък, ако е необходимо.</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3. Оценка на експозицията и референция на източника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D6E9B" w:rsidRPr="0070774F">
        <w:trPr>
          <w:trHeight w:val="60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774F" w:rsidRDefault="008D6E9B" w:rsidP="009D4C75">
            <w:pPr>
              <w:keepNext/>
              <w:spacing w:line="240" w:lineRule="auto"/>
              <w:rPr>
                <w:rFonts w:ascii="Arial" w:hAnsi="Arial" w:cs="Arial"/>
                <w:sz w:val="16"/>
                <w:szCs w:val="16"/>
                <w:lang w:val="bg-BG" w:eastAsia="de-DE"/>
              </w:rPr>
            </w:pPr>
            <w:r w:rsidRPr="0070774F">
              <w:rPr>
                <w:rFonts w:ascii="Arial" w:hAnsi="Arial" w:cs="Arial"/>
                <w:sz w:val="16"/>
                <w:szCs w:val="16"/>
                <w:lang w:val="bg-BG"/>
              </w:rPr>
              <w:t>Инструментът за оценка на експозицията MEASE се използва за оценка на експозицията при вдишване. Съотношението на характеризиране на риска (RCR) еотношение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за CaO от 1 mg/m³ (като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тъй като вдишаната фракция е подфракция на вдишваната фракция, съгласно EN 481.</w:t>
            </w:r>
          </w:p>
        </w:tc>
      </w:tr>
      <w:tr w:rsidR="008D6E9B" w:rsidRPr="0070774F">
        <w:trPr>
          <w:trHeight w:val="679"/>
          <w:jc w:val="center"/>
        </w:trPr>
        <w:tc>
          <w:tcPr>
            <w:tcW w:w="0" w:type="auto"/>
            <w:tcBorders>
              <w:top w:val="nil"/>
              <w:left w:val="single" w:sz="8" w:space="0" w:color="auto"/>
              <w:bottom w:val="single" w:sz="4" w:space="0" w:color="000000"/>
              <w:right w:val="single" w:sz="4" w:space="0" w:color="auto"/>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Методология, използвана за оценка на експозицията при вдишване</w:t>
            </w:r>
          </w:p>
        </w:tc>
        <w:tc>
          <w:tcPr>
            <w:tcW w:w="0" w:type="auto"/>
            <w:tcBorders>
              <w:top w:val="nil"/>
              <w:left w:val="nil"/>
              <w:bottom w:val="single" w:sz="4" w:space="0" w:color="auto"/>
              <w:right w:val="single" w:sz="4" w:space="0" w:color="auto"/>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на експозиция при вдишване (RCR)</w:t>
            </w:r>
          </w:p>
        </w:tc>
        <w:tc>
          <w:tcPr>
            <w:tcW w:w="0" w:type="auto"/>
            <w:tcBorders>
              <w:top w:val="nil"/>
              <w:left w:val="nil"/>
              <w:bottom w:val="single" w:sz="4" w:space="0" w:color="auto"/>
              <w:right w:val="single" w:sz="4" w:space="0" w:color="auto"/>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Методология, използвана за оценка на дермалната експозиция</w:t>
            </w:r>
          </w:p>
        </w:tc>
        <w:tc>
          <w:tcPr>
            <w:tcW w:w="0" w:type="auto"/>
            <w:tcBorders>
              <w:top w:val="nil"/>
              <w:left w:val="nil"/>
              <w:bottom w:val="single" w:sz="4" w:space="0" w:color="000000"/>
              <w:right w:val="single" w:sz="8" w:space="0" w:color="auto"/>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при дермална експозиция (RCR)</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 2, 3, 4, 5, 7, 8a, 8b, 9, 10, 13, 14, 15, 16, 17, 18, 19, 22, 23, 24, 25, 26, 27a, 27b</w:t>
            </w:r>
          </w:p>
        </w:tc>
        <w:tc>
          <w:tcPr>
            <w:tcW w:w="0" w:type="auto"/>
            <w:tcBorders>
              <w:top w:val="single" w:sz="4" w:space="0" w:color="000000"/>
              <w:left w:val="nil"/>
              <w:bottom w:val="single" w:sz="4" w:space="0" w:color="000000"/>
              <w:right w:val="single" w:sz="4" w:space="0" w:color="auto"/>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MEASE</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&lt; 1 mg/m³ (0</w:t>
            </w:r>
            <w:r w:rsidRPr="0070774F">
              <w:rPr>
                <w:rFonts w:ascii="Arial" w:hAnsi="Arial" w:cs="Arial"/>
                <w:sz w:val="16"/>
                <w:szCs w:val="16"/>
                <w:lang w:val="de-DE"/>
              </w:rPr>
              <w:t>,</w:t>
            </w:r>
            <w:r w:rsidRPr="0070774F">
              <w:rPr>
                <w:rFonts w:ascii="Arial" w:hAnsi="Arial" w:cs="Arial"/>
                <w:sz w:val="16"/>
                <w:szCs w:val="16"/>
                <w:lang w:val="bg-BG"/>
              </w:rPr>
              <w:t>01 – 0</w:t>
            </w:r>
            <w:r w:rsidRPr="0070774F">
              <w:rPr>
                <w:rFonts w:ascii="Arial" w:hAnsi="Arial" w:cs="Arial"/>
                <w:sz w:val="16"/>
                <w:szCs w:val="16"/>
                <w:lang w:val="de-DE"/>
              </w:rPr>
              <w:t>,</w:t>
            </w:r>
            <w:r w:rsidRPr="0070774F">
              <w:rPr>
                <w:rFonts w:ascii="Arial" w:hAnsi="Arial" w:cs="Arial"/>
                <w:sz w:val="16"/>
                <w:szCs w:val="16"/>
                <w:lang w:val="bg-BG"/>
              </w:rPr>
              <w:t>88)</w:t>
            </w:r>
          </w:p>
        </w:tc>
        <w:tc>
          <w:tcPr>
            <w:tcW w:w="0" w:type="auto"/>
            <w:gridSpan w:val="2"/>
            <w:tcBorders>
              <w:top w:val="single" w:sz="4" w:space="0" w:color="000000"/>
              <w:left w:val="nil"/>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Тъй като CaO се класифицира като дразнещо кожата, дермалната експозиция трябва да се минимализира до технически оправданото. Не е получен DNEL за дермалните ефекти. Така че дермалната експозиция не се оценява в този сценарий на експозиция.</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774F" w:rsidRDefault="008D6E9B" w:rsidP="009D4C75">
            <w:pPr>
              <w:keepNext/>
              <w:spacing w:line="240" w:lineRule="auto"/>
              <w:jc w:val="both"/>
              <w:rPr>
                <w:rFonts w:ascii="Arial" w:hAnsi="Arial" w:cs="Arial"/>
                <w:b/>
                <w:bCs/>
                <w:color w:val="0000FF"/>
                <w:sz w:val="16"/>
                <w:szCs w:val="16"/>
                <w:lang w:val="bg-BG" w:eastAsia="de-DE"/>
              </w:rPr>
            </w:pPr>
            <w:r w:rsidRPr="0070774F">
              <w:rPr>
                <w:rFonts w:ascii="Arial" w:hAnsi="Arial" w:cs="Arial"/>
                <w:b/>
                <w:bCs/>
                <w:color w:val="0000FF"/>
                <w:sz w:val="16"/>
                <w:szCs w:val="16"/>
                <w:lang w:val="bg-BG"/>
              </w:rPr>
              <w:t>Емисии в околната среда</w:t>
            </w:r>
          </w:p>
        </w:tc>
      </w:tr>
      <w:tr w:rsidR="008D6E9B" w:rsidRPr="0070774F">
        <w:trPr>
          <w:cantSplit/>
          <w:trHeight w:val="301"/>
          <w:jc w:val="center"/>
        </w:trPr>
        <w:tc>
          <w:tcPr>
            <w:tcW w:w="0" w:type="auto"/>
            <w:gridSpan w:val="5"/>
            <w:tcBorders>
              <w:top w:val="nil"/>
              <w:left w:val="single" w:sz="8" w:space="0" w:color="auto"/>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Оценката на експозицията за околната среда се отнася само до водната среда, когато тя е засегната, вкл. ПСОВ/ППСОВ, тъй като емисиите на CaO на различните стадий от жизнения цикъл (производство и употреба) засягат основно водата (отпадната). Оценката на ефекта върху и риска за водата се занимава само с въздействието върху организмите/екосистемите поради възможни изпускания на OH и промяна на pH, като токсичността на Ca2+ се очаква да е незначителна в сравнение с (потенциалния) ефект на pH. Разглежда се само на местно ниво, в т.ч. общинските ПСОВ и ППСОВ, където ги има, както за производство, така и за промишлено ползване, тъй като се очакват ефекти единствено на местно ниво. Високата разтворимост във вода и много ниското парно налягане показват, че CaO може да се открие основно във водата. Значителни емисии и експозиция на въздуха не се очакват, поради ниското парно налягане на CaO. Значителни емисии или експозиция на сухоземната среда също не се очакват за този сценарий на експозиция. Оценката на експозицията за водната среда следователно се занимава само с възможните промени на pH в отходните води на ПСОВ и повърхностните води, свързани с изпускането на OH на местно ниво. Към оценката на експозицията се подхожда с оценка на въздействието на получилото се pH: pH на повърхностните води не трябва да надвишава 9.</w:t>
            </w:r>
          </w:p>
        </w:tc>
      </w:tr>
      <w:tr w:rsidR="008D6E9B" w:rsidRPr="0070774F">
        <w:trPr>
          <w:cantSplit/>
          <w:trHeight w:val="301"/>
          <w:jc w:val="center"/>
        </w:trPr>
        <w:tc>
          <w:tcPr>
            <w:tcW w:w="0" w:type="auto"/>
            <w:tcBorders>
              <w:top w:val="nil"/>
              <w:left w:val="single" w:sz="8" w:space="0" w:color="auto"/>
              <w:bottom w:val="single" w:sz="4" w:space="0" w:color="auto"/>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4"/>
            <w:tcBorders>
              <w:top w:val="single" w:sz="4" w:space="0" w:color="000000"/>
              <w:left w:val="nil"/>
              <w:bottom w:val="single" w:sz="4" w:space="0" w:color="auto"/>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Производството на CaO може евентуално да доведе до емисии във водата и увеличаване на местно ниво на концентрацията на CaO, което се отразява на pH във водната среда. Когато pH не се неутрализира, изпускането на отпадни води от производството на CaO може да повлияе върху pH на приемащата река. pH на заустваната вода обикновено се измерва много често и може да бъде лесно неутрализирано, толкова често, колкото се изисква от националното законодателство.</w:t>
            </w:r>
          </w:p>
        </w:tc>
      </w:tr>
      <w:tr w:rsidR="008D6E9B" w:rsidRPr="0070774F">
        <w:trPr>
          <w:cantSplit/>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lastRenderedPageBreak/>
              <w:t>Концентрация на експозицията в отпадните води на ППСОВ</w:t>
            </w:r>
          </w:p>
        </w:tc>
        <w:tc>
          <w:tcPr>
            <w:tcW w:w="0" w:type="auto"/>
            <w:gridSpan w:val="4"/>
            <w:tcBorders>
              <w:top w:val="single" w:sz="4" w:space="0" w:color="auto"/>
              <w:left w:val="nil"/>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Отпадните води от производството на CaO представляват неорганичен поток и затова не се третират биологично. Следователно, отпадният поток от обекти за производство на CaO обикновено не се третират в биологични ППСОВ, но могат да се използват за контрол на pH на киселинните отпадни водни потоци, които се обработват в биологичните ППСОВ.</w:t>
            </w:r>
          </w:p>
          <w:p w:rsidR="008D6E9B" w:rsidRPr="0070774F" w:rsidRDefault="008D6E9B" w:rsidP="009D4C75">
            <w:pPr>
              <w:spacing w:line="240" w:lineRule="auto"/>
              <w:rPr>
                <w:rFonts w:ascii="Arial" w:hAnsi="Arial" w:cs="Arial"/>
                <w:sz w:val="16"/>
                <w:szCs w:val="16"/>
                <w:lang w:val="bg-BG" w:eastAsia="de-DE"/>
              </w:rPr>
            </w:pPr>
          </w:p>
        </w:tc>
      </w:tr>
      <w:tr w:rsidR="008D6E9B" w:rsidRPr="0070774F">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водно-пелагична камера</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Когато CaO се емитира в повърхностните води, сорбцията в частици и седименти е незначителна. Когато варта се отделя в повърхностните води, pH може да нарасне в зависимост от буферния капацитет на водата. Колкото е по-висок буферният капацитет на водата, толкова по-нисък е ефектът върху pH. Най-общо буферният капацитет, който не позволява промяна в киселинността или алкалността на водите, се регулира от равновесието между въглеродния двуокис (CO2), бикарбонатния йон (HCO3-) и карбонатния йон (CO32–).</w:t>
            </w:r>
          </w:p>
        </w:tc>
      </w:tr>
      <w:tr w:rsidR="008D6E9B" w:rsidRPr="0070774F">
        <w:trPr>
          <w:cantSplit/>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Седиментната част не е включена в този ES, защото не се счита за релевантна по отношение на CaO: когато CaO се емитира във водна среда, сорбцията в седиментарни частици е незначителна.</w:t>
            </w:r>
          </w:p>
        </w:tc>
      </w:tr>
      <w:tr w:rsidR="008D6E9B" w:rsidRPr="0070774F">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Сухоземната част не е включена в този сценарий на експозиция, защото се счита за ирелевантна.</w:t>
            </w:r>
          </w:p>
        </w:tc>
      </w:tr>
      <w:tr w:rsidR="008D6E9B" w:rsidRPr="0070774F">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Атмосферната част не е включена в този СES, защото не се счита за релевантна по отношение на CaO: когато се емитират във въздуха като воден аерозол, CaO се неутрализират, в резултат на реакцията им с CO2 (или други киселини), във HCO3- и Ca2+. Впоследствие, солите (като калциевия бикарбонат) се отмиват от въздуха и по този начин атмосферните емисии на неутрализираното CaO в голямата си част попадат в почвата и водите.</w:t>
            </w:r>
          </w:p>
        </w:tc>
      </w:tr>
      <w:tr w:rsidR="008D6E9B" w:rsidRPr="0070774F">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Биоакумулирането не е релевантно за CaO: следователно не се налага оценка на риска за вторично отравяне.</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 xml:space="preserve">4. Ръководство за </w:t>
            </w:r>
            <w:r>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дермалната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скалиращ инструмент, като MEASE (</w:t>
            </w:r>
            <w:hyperlink r:id="rId20"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глосара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w:t>
            </w:r>
            <w:r>
              <w:rPr>
                <w:rFonts w:ascii="Arial" w:hAnsi="Arial" w:cs="Arial"/>
                <w:sz w:val="16"/>
                <w:szCs w:val="16"/>
                <w:lang w:val="bg-BG"/>
              </w:rPr>
              <w:t>а със запрашеност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D6E9B" w:rsidRPr="00703017" w:rsidRDefault="008D6E9B" w:rsidP="009D4C75">
            <w:pPr>
              <w:spacing w:before="60" w:after="60" w:line="240" w:lineRule="auto"/>
              <w:rPr>
                <w:rFonts w:ascii="Arial" w:hAnsi="Arial" w:cs="Arial"/>
                <w:sz w:val="20"/>
                <w:szCs w:val="20"/>
                <w:lang w:val="bg-BG" w:eastAsia="de-DE"/>
              </w:rPr>
            </w:pPr>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r w:rsidRPr="00703017">
              <w:rPr>
                <w:rFonts w:ascii="Arial" w:hAnsi="Arial" w:cs="Arial"/>
                <w:sz w:val="20"/>
                <w:szCs w:val="20"/>
                <w:lang w:val="bg-BG"/>
              </w:rPr>
              <w:t>:</w:t>
            </w:r>
            <w:r w:rsidRPr="00703017">
              <w:rPr>
                <w:rFonts w:ascii="Arial" w:hAnsi="Arial" w:cs="Arial"/>
                <w:sz w:val="20"/>
                <w:szCs w:val="20"/>
                <w:lang w:val="bg-BG"/>
              </w:rPr>
              <w:tab/>
              <w:t>1 mg/m³ (като вдишван прах)</w:t>
            </w:r>
          </w:p>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mg/m³.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Експозиция за околната среда</w:t>
            </w:r>
          </w:p>
        </w:tc>
      </w:tr>
      <w:tr w:rsidR="008D6E9B" w:rsidRPr="0070774F">
        <w:trPr>
          <w:trHeight w:val="7477"/>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sz w:val="16"/>
                <w:szCs w:val="16"/>
                <w:lang w:val="bg-BG"/>
              </w:rPr>
              <w:t>Ако даден обект не отговаря на условията, посочени в сценария за експозиция при безопасна употреба, препоръчва се да се приложи подход по редове за извършване на по-прецизна оценка. За извършване на такава оценка се препоръчва следния поетапен подход.</w:t>
            </w:r>
          </w:p>
          <w:p w:rsidR="008D6E9B" w:rsidRPr="00703017" w:rsidRDefault="008D6E9B" w:rsidP="009D4C75">
            <w:pPr>
              <w:tabs>
                <w:tab w:val="left" w:pos="1701"/>
              </w:tabs>
              <w:spacing w:before="60" w:after="60" w:line="240" w:lineRule="auto"/>
              <w:rPr>
                <w:rFonts w:ascii="Arial" w:hAnsi="Arial" w:cs="Arial"/>
                <w:sz w:val="16"/>
                <w:szCs w:val="16"/>
                <w:lang w:val="bg-BG" w:eastAsia="de-DE"/>
              </w:rPr>
            </w:pPr>
          </w:p>
          <w:p w:rsidR="008D6E9B" w:rsidRPr="0070774F" w:rsidRDefault="008D6E9B"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1</w:t>
            </w:r>
            <w:r w:rsidRPr="00703017">
              <w:rPr>
                <w:rFonts w:ascii="Arial" w:hAnsi="Arial" w:cs="Arial"/>
                <w:sz w:val="16"/>
                <w:szCs w:val="16"/>
                <w:lang w:val="bg-BG"/>
              </w:rPr>
              <w:t xml:space="preserve">: получете информация за pH на отпадните води и за приноса </w:t>
            </w:r>
            <w:r w:rsidRPr="0070774F">
              <w:rPr>
                <w:rFonts w:ascii="Arial" w:hAnsi="Arial" w:cs="Arial"/>
                <w:sz w:val="16"/>
                <w:szCs w:val="16"/>
                <w:lang w:val="bg-BG"/>
              </w:rPr>
              <w:t>на CaO за този резултат. Ако pH е над 9 и основно се дължи на варта, наложителни са следващите действия за демонстриране на безопасна употреба.</w:t>
            </w:r>
          </w:p>
          <w:p w:rsidR="008D6E9B" w:rsidRPr="0070774F" w:rsidRDefault="008D6E9B" w:rsidP="009D4C75">
            <w:pPr>
              <w:tabs>
                <w:tab w:val="left" w:pos="1701"/>
              </w:tabs>
              <w:spacing w:before="60" w:after="60" w:line="240" w:lineRule="auto"/>
              <w:rPr>
                <w:rFonts w:ascii="Arial" w:hAnsi="Arial" w:cs="Arial"/>
                <w:sz w:val="16"/>
                <w:szCs w:val="16"/>
                <w:lang w:val="bg-BG" w:eastAsia="de-DE"/>
              </w:rPr>
            </w:pPr>
          </w:p>
          <w:p w:rsidR="008D6E9B" w:rsidRPr="0070774F" w:rsidRDefault="008D6E9B" w:rsidP="009D4C75">
            <w:pPr>
              <w:tabs>
                <w:tab w:val="left" w:pos="1701"/>
              </w:tabs>
              <w:spacing w:before="60" w:after="60" w:line="240" w:lineRule="auto"/>
              <w:rPr>
                <w:rFonts w:ascii="Arial" w:hAnsi="Arial" w:cs="Arial"/>
                <w:sz w:val="16"/>
                <w:szCs w:val="16"/>
                <w:lang w:val="bg-BG" w:eastAsia="de-DE"/>
              </w:rPr>
            </w:pPr>
            <w:r w:rsidRPr="0070774F">
              <w:rPr>
                <w:rFonts w:ascii="Arial" w:hAnsi="Arial" w:cs="Arial"/>
                <w:b/>
                <w:bCs/>
                <w:sz w:val="16"/>
                <w:szCs w:val="16"/>
                <w:lang w:val="bg-BG"/>
              </w:rPr>
              <w:t>Ред 2а</w:t>
            </w:r>
            <w:r w:rsidRPr="0070774F">
              <w:rPr>
                <w:rFonts w:ascii="Arial" w:hAnsi="Arial" w:cs="Arial"/>
                <w:sz w:val="16"/>
                <w:szCs w:val="16"/>
                <w:lang w:val="bg-BG"/>
              </w:rPr>
              <w:t>: получете информация за pH на приемащите води след точката на заустване. pH на приемащите води не трябва да надвишава 9. Ако няма налични измервания, pH в реката може да се изчисли по следния начин:</w:t>
            </w:r>
          </w:p>
          <w:p w:rsidR="008D6E9B" w:rsidRPr="0070774F" w:rsidRDefault="001D5CEE" w:rsidP="009D4C75">
            <w:pPr>
              <w:tabs>
                <w:tab w:val="left" w:pos="1701"/>
              </w:tabs>
              <w:spacing w:before="60" w:after="60" w:line="240" w:lineRule="auto"/>
              <w:jc w:val="both"/>
              <w:rPr>
                <w:rFonts w:ascii="Arial" w:hAnsi="Arial" w:cs="Arial"/>
                <w:position w:val="-30"/>
                <w:vertAlign w:val="subscript"/>
                <w:lang w:val="bg-BG"/>
              </w:rPr>
            </w:pPr>
            <w:r>
              <w:rPr>
                <w:rFonts w:ascii="Arial" w:hAnsi="Arial" w:cs="Arial"/>
                <w:noProof/>
                <w:sz w:val="16"/>
                <w:szCs w:val="16"/>
                <w:lang w:val="bg-BG" w:eastAsia="bg-BG"/>
              </w:rPr>
              <mc:AlternateContent>
                <mc:Choice Requires="wpc">
                  <w:drawing>
                    <wp:inline distT="0" distB="0" distL="0" distR="0">
                      <wp:extent cx="4159250" cy="814070"/>
                      <wp:effectExtent l="4445" t="0" r="0" b="0"/>
                      <wp:docPr id="125" name="Пла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01" name="Group 59"/>
                              <wpg:cNvGrpSpPr>
                                <a:grpSpLocks/>
                              </wpg:cNvGrpSpPr>
                              <wpg:grpSpPr bwMode="auto">
                                <a:xfrm>
                                  <a:off x="1188085" y="121285"/>
                                  <a:ext cx="2735580" cy="490220"/>
                                  <a:chOff x="60" y="-25"/>
                                  <a:chExt cx="4308" cy="772"/>
                                </a:xfrm>
                              </wpg:grpSpPr>
                              <wps:wsp>
                                <wps:cNvPr id="102" name="Rectangle 60"/>
                                <wps:cNvSpPr>
                                  <a:spLocks noChangeArrowheads="1"/>
                                </wps:cNvSpPr>
                                <wps:spPr bwMode="auto">
                                  <a:xfrm>
                                    <a:off x="60" y="208"/>
                                    <a:ext cx="81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i/>
                                          <w:iCs/>
                                          <w:color w:val="000000"/>
                                          <w:sz w:val="24"/>
                                          <w:szCs w:val="24"/>
                                          <w:lang w:val="en-US"/>
                                        </w:rPr>
                                        <w:t>pHriver</w:t>
                                      </w:r>
                                    </w:p>
                                  </w:txbxContent>
                                </wps:txbx>
                                <wps:bodyPr rot="0" vert="horz" wrap="none" lIns="0" tIns="0" rIns="0" bIns="0" anchor="t" anchorCtr="0" upright="1">
                                  <a:spAutoFit/>
                                </wps:bodyPr>
                              </wps:wsp>
                              <wps:wsp>
                                <wps:cNvPr id="103" name="Rectangle 61"/>
                                <wps:cNvSpPr>
                                  <a:spLocks noChangeArrowheads="1"/>
                                </wps:cNvSpPr>
                                <wps:spPr bwMode="auto">
                                  <a:xfrm>
                                    <a:off x="876" y="180"/>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104" name="Rectangle 62"/>
                                <wps:cNvSpPr>
                                  <a:spLocks noChangeArrowheads="1"/>
                                </wps:cNvSpPr>
                                <wps:spPr bwMode="auto">
                                  <a:xfrm>
                                    <a:off x="1067" y="208"/>
                                    <a:ext cx="43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i/>
                                          <w:iCs/>
                                          <w:color w:val="000000"/>
                                          <w:sz w:val="24"/>
                                          <w:szCs w:val="24"/>
                                          <w:lang w:val="en-US"/>
                                        </w:rPr>
                                        <w:t>Log</w:t>
                                      </w:r>
                                    </w:p>
                                  </w:txbxContent>
                                </wps:txbx>
                                <wps:bodyPr rot="0" vert="horz" wrap="none" lIns="0" tIns="0" rIns="0" bIns="0" anchor="t" anchorCtr="0" upright="1">
                                  <a:spAutoFit/>
                                </wps:bodyPr>
                              </wps:wsp>
                              <wps:wsp>
                                <wps:cNvPr id="105" name="Rectangle 63"/>
                                <wps:cNvSpPr>
                                  <a:spLocks noChangeArrowheads="1"/>
                                </wps:cNvSpPr>
                                <wps:spPr bwMode="auto">
                                  <a:xfrm>
                                    <a:off x="1527" y="56"/>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D6160C"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wps:txbx>
                                <wps:bodyPr rot="0" vert="horz" wrap="none" lIns="0" tIns="0" rIns="0" bIns="0" anchor="t" anchorCtr="0" upright="1">
                                  <a:noAutofit/>
                                </wps:bodyPr>
                              </wps:wsp>
                              <wps:wsp>
                                <wps:cNvPr id="106" name="Rectangle 64"/>
                                <wps:cNvSpPr>
                                  <a:spLocks noChangeArrowheads="1"/>
                                </wps:cNvSpPr>
                                <wps:spPr bwMode="auto">
                                  <a:xfrm>
                                    <a:off x="2104"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color w:val="000000"/>
                                          <w:sz w:val="24"/>
                                          <w:szCs w:val="24"/>
                                          <w:lang w:val="en-US"/>
                                        </w:rPr>
                                        <w:t>*</w:t>
                                      </w:r>
                                    </w:p>
                                  </w:txbxContent>
                                </wps:txbx>
                                <wps:bodyPr rot="0" vert="horz" wrap="none" lIns="0" tIns="0" rIns="0" bIns="0" anchor="t" anchorCtr="0" upright="1">
                                  <a:spAutoFit/>
                                </wps:bodyPr>
                              </wps:wsp>
                              <wps:wsp>
                                <wps:cNvPr id="107" name="Rectangle 65"/>
                                <wps:cNvSpPr>
                                  <a:spLocks noChangeArrowheads="1"/>
                                </wps:cNvSpPr>
                                <wps:spPr bwMode="auto">
                                  <a:xfrm>
                                    <a:off x="2234"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color w:val="000000"/>
                                          <w:sz w:val="24"/>
                                          <w:szCs w:val="24"/>
                                          <w:lang w:val="en-US"/>
                                        </w:rPr>
                                        <w:t>10</w:t>
                                      </w:r>
                                    </w:p>
                                  </w:txbxContent>
                                </wps:txbx>
                                <wps:bodyPr rot="0" vert="horz" wrap="none" lIns="0" tIns="0" rIns="0" bIns="0" anchor="t" anchorCtr="0" upright="1">
                                  <a:spAutoFit/>
                                </wps:bodyPr>
                              </wps:wsp>
                              <wps:wsp>
                                <wps:cNvPr id="109" name="Rectangle 66"/>
                                <wps:cNvSpPr>
                                  <a:spLocks noChangeArrowheads="1"/>
                                </wps:cNvSpPr>
                                <wps:spPr bwMode="auto">
                                  <a:xfrm>
                                    <a:off x="2494" y="38"/>
                                    <a:ext cx="405"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
                                  </w:txbxContent>
                                </wps:txbx>
                                <wps:bodyPr rot="0" vert="horz" wrap="none" lIns="0" tIns="0" rIns="0" bIns="0" anchor="t" anchorCtr="0" upright="1">
                                  <a:spAutoFit/>
                                </wps:bodyPr>
                              </wps:wsp>
                              <wps:wsp>
                                <wps:cNvPr id="110" name="Rectangle 67"/>
                                <wps:cNvSpPr>
                                  <a:spLocks noChangeArrowheads="1"/>
                                </wps:cNvSpPr>
                                <wps:spPr bwMode="auto">
                                  <a:xfrm>
                                    <a:off x="2895" y="28"/>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111" name="Rectangle 68"/>
                                <wps:cNvSpPr>
                                  <a:spLocks noChangeArrowheads="1"/>
                                </wps:cNvSpPr>
                                <wps:spPr bwMode="auto">
                                  <a:xfrm>
                                    <a:off x="3102" y="49"/>
                                    <a:ext cx="47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E03A8E"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wps:txbx>
                                <wps:bodyPr rot="0" vert="horz" wrap="none" lIns="0" tIns="0" rIns="0" bIns="0" anchor="t" anchorCtr="0" upright="1">
                                  <a:spAutoFit/>
                                </wps:bodyPr>
                              </wps:wsp>
                              <wps:wsp>
                                <wps:cNvPr id="112" name="Rectangle 69"/>
                                <wps:cNvSpPr>
                                  <a:spLocks noChangeArrowheads="1"/>
                                </wps:cNvSpPr>
                                <wps:spPr bwMode="auto">
                                  <a:xfrm>
                                    <a:off x="3536"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color w:val="000000"/>
                                          <w:sz w:val="24"/>
                                          <w:szCs w:val="24"/>
                                          <w:lang w:val="en-US"/>
                                        </w:rPr>
                                        <w:t>*</w:t>
                                      </w:r>
                                    </w:p>
                                  </w:txbxContent>
                                </wps:txbx>
                                <wps:bodyPr rot="0" vert="horz" wrap="none" lIns="0" tIns="0" rIns="0" bIns="0" anchor="t" anchorCtr="0" upright="1">
                                  <a:spAutoFit/>
                                </wps:bodyPr>
                              </wps:wsp>
                              <wps:wsp>
                                <wps:cNvPr id="113" name="Rectangle 70"/>
                                <wps:cNvSpPr>
                                  <a:spLocks noChangeArrowheads="1"/>
                                </wps:cNvSpPr>
                                <wps:spPr bwMode="auto">
                                  <a:xfrm>
                                    <a:off x="3656"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color w:val="000000"/>
                                          <w:sz w:val="24"/>
                                          <w:szCs w:val="24"/>
                                          <w:lang w:val="en-US"/>
                                        </w:rPr>
                                        <w:t>10</w:t>
                                      </w:r>
                                    </w:p>
                                  </w:txbxContent>
                                </wps:txbx>
                                <wps:bodyPr rot="0" vert="horz" wrap="none" lIns="0" tIns="0" rIns="0" bIns="0" anchor="t" anchorCtr="0" upright="1">
                                  <a:spAutoFit/>
                                </wps:bodyPr>
                              </wps:wsp>
                              <wps:wsp>
                                <wps:cNvPr id="114" name="Rectangle 71"/>
                                <wps:cNvSpPr>
                                  <a:spLocks noChangeArrowheads="1"/>
                                </wps:cNvSpPr>
                                <wps:spPr bwMode="auto">
                                  <a:xfrm>
                                    <a:off x="3916" y="38"/>
                                    <a:ext cx="34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E03A8E" w:rsidRDefault="00AB5450" w:rsidP="00B338DD">
                                      <w:pPr>
                                        <w:rPr>
                                          <w:rFonts w:ascii="Times" w:hAnsi="Times" w:cs="Times"/>
                                          <w:i/>
                                          <w:iCs/>
                                          <w:color w:val="000000"/>
                                          <w:sz w:val="14"/>
                                          <w:szCs w:val="14"/>
                                          <w:lang w:val="en-US"/>
                                        </w:rPr>
                                      </w:pPr>
                                      <w:r>
                                        <w:rPr>
                                          <w:rFonts w:ascii="Times" w:hAnsi="Times" w:cs="Times"/>
                                          <w:i/>
                                          <w:iCs/>
                                          <w:color w:val="000000"/>
                                          <w:sz w:val="14"/>
                                          <w:szCs w:val="14"/>
                                          <w:lang w:val="en-US"/>
                                        </w:rPr>
                                        <w:t>pH</w:t>
                                      </w:r>
                                      <w:r w:rsidRPr="00E03A8E">
                                        <w:rPr>
                                          <w:rFonts w:ascii="Times" w:hAnsi="Times" w:cs="Times"/>
                                          <w:i/>
                                          <w:iCs/>
                                          <w:color w:val="000000"/>
                                          <w:sz w:val="14"/>
                                          <w:szCs w:val="14"/>
                                          <w:lang w:val="en-US"/>
                                        </w:rPr>
                                        <w:t>_р</w:t>
                                      </w:r>
                                    </w:p>
                                  </w:txbxContent>
                                </wps:txbx>
                                <wps:bodyPr rot="0" vert="horz" wrap="none" lIns="0" tIns="0" rIns="0" bIns="0" anchor="t" anchorCtr="0" upright="1">
                                  <a:spAutoFit/>
                                </wps:bodyPr>
                              </wps:wsp>
                              <wps:wsp>
                                <wps:cNvPr id="115" name="Rectangle 72"/>
                                <wps:cNvSpPr>
                                  <a:spLocks noChangeArrowheads="1"/>
                                </wps:cNvSpPr>
                                <wps:spPr bwMode="auto">
                                  <a:xfrm>
                                    <a:off x="2719" y="367"/>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116" name="Line 73"/>
                                <wps:cNvCnPr>
                                  <a:cxnSpLocks noChangeShapeType="1"/>
                                </wps:cNvCnPr>
                                <wps:spPr bwMode="auto">
                                  <a:xfrm>
                                    <a:off x="1517" y="365"/>
                                    <a:ext cx="2711" cy="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74"/>
                                <wps:cNvSpPr>
                                  <a:spLocks noChangeArrowheads="1"/>
                                </wps:cNvSpPr>
                                <wps:spPr bwMode="auto">
                                  <a:xfrm>
                                    <a:off x="1427"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18" name="Rectangle 75"/>
                                <wps:cNvSpPr>
                                  <a:spLocks noChangeArrowheads="1"/>
                                </wps:cNvSpPr>
                                <wps:spPr bwMode="auto">
                                  <a:xfrm>
                                    <a:off x="1427"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19" name="Rectangle 76"/>
                                <wps:cNvSpPr>
                                  <a:spLocks noChangeArrowheads="1"/>
                                </wps:cNvSpPr>
                                <wps:spPr bwMode="auto">
                                  <a:xfrm>
                                    <a:off x="1427"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20" name="Rectangle 77"/>
                                <wps:cNvSpPr>
                                  <a:spLocks noChangeArrowheads="1"/>
                                </wps:cNvSpPr>
                                <wps:spPr bwMode="auto">
                                  <a:xfrm>
                                    <a:off x="4215"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21" name="Rectangle 78"/>
                                <wps:cNvSpPr>
                                  <a:spLocks noChangeArrowheads="1"/>
                                </wps:cNvSpPr>
                                <wps:spPr bwMode="auto">
                                  <a:xfrm>
                                    <a:off x="4215"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22" name="Rectangle 79"/>
                                <wps:cNvSpPr>
                                  <a:spLocks noChangeArrowheads="1"/>
                                </wps:cNvSpPr>
                                <wps:spPr bwMode="auto">
                                  <a:xfrm>
                                    <a:off x="4215"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23" name="Rectangle 80"/>
                                <wps:cNvSpPr>
                                  <a:spLocks noChangeArrowheads="1"/>
                                </wps:cNvSpPr>
                                <wps:spPr bwMode="auto">
                                  <a:xfrm>
                                    <a:off x="2941" y="380"/>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D6160C"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wps:txbx>
                                <wps:bodyPr rot="0" vert="horz" wrap="none" lIns="0" tIns="0" rIns="0" bIns="0" anchor="t" anchorCtr="0" upright="1">
                                  <a:noAutofit/>
                                </wps:bodyPr>
                              </wps:wsp>
                              <wps:wsp>
                                <wps:cNvPr id="124" name="Rectangle 81"/>
                                <wps:cNvSpPr>
                                  <a:spLocks noChangeArrowheads="1"/>
                                </wps:cNvSpPr>
                                <wps:spPr bwMode="auto">
                                  <a:xfrm>
                                    <a:off x="2212" y="379"/>
                                    <a:ext cx="47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E03A8E"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wps:txbx>
                                <wps:bodyPr rot="0" vert="horz" wrap="none" lIns="0" tIns="0" rIns="0" bIns="0" anchor="t" anchorCtr="0" upright="1">
                                  <a:noAutofit/>
                                </wps:bodyPr>
                              </wps:wsp>
                            </wpg:wgp>
                          </wpc:wpc>
                        </a:graphicData>
                      </a:graphic>
                    </wp:inline>
                  </w:drawing>
                </mc:Choice>
                <mc:Fallback>
                  <w:pict>
                    <v:group id="Платно 57" o:spid="_x0000_s1076" editas="canvas" style="width:327.5pt;height:64.1pt;mso-position-horizontal-relative:char;mso-position-vertical-relative:line" coordsize="41592,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">
                      <v:shape id="_x0000_s1077" type="#_x0000_t75" style="position:absolute;width:41592;height:8140;visibility:visible;mso-wrap-style:square">
                        <v:fill o:detectmouseclick="t"/>
                        <v:path o:connecttype="none"/>
                      </v:shape>
                      <v:group id="Group 59" o:spid="_x0000_s1078" style="position:absolute;left:11880;top:1212;width:27356;height:4903" coordorigin="60,-25" coordsize="430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60" o:spid="_x0000_s1079" style="position:absolute;left:60;top:208;width:816;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AB5450" w:rsidRDefault="00AB5450" w:rsidP="00B338DD">
                                <w:r>
                                  <w:rPr>
                                    <w:rFonts w:ascii="Times" w:hAnsi="Times" w:cs="Times"/>
                                    <w:i/>
                                    <w:iCs/>
                                    <w:color w:val="000000"/>
                                    <w:sz w:val="24"/>
                                    <w:szCs w:val="24"/>
                                    <w:lang w:val="en-US"/>
                                  </w:rPr>
                                  <w:t>pHriver</w:t>
                                </w:r>
                              </w:p>
                            </w:txbxContent>
                          </v:textbox>
                        </v:rect>
                        <v:rect id="Rectangle 61" o:spid="_x0000_s1080" style="position:absolute;left:876;top:180;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AB5450" w:rsidRDefault="00AB5450" w:rsidP="00B338DD">
                                <w:r>
                                  <w:rPr>
                                    <w:rFonts w:ascii="Symbol" w:hAnsi="Symbol" w:cs="Symbol"/>
                                    <w:color w:val="000000"/>
                                    <w:sz w:val="24"/>
                                    <w:szCs w:val="24"/>
                                    <w:lang w:val="en-US"/>
                                  </w:rPr>
                                  <w:t></w:t>
                                </w:r>
                              </w:p>
                            </w:txbxContent>
                          </v:textbox>
                        </v:rect>
                        <v:rect id="Rectangle 62" o:spid="_x0000_s1081" style="position:absolute;left:1067;top:208;width:43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AB5450" w:rsidRDefault="00AB5450" w:rsidP="00B338DD">
                                <w:r>
                                  <w:rPr>
                                    <w:rFonts w:ascii="Times" w:hAnsi="Times" w:cs="Times"/>
                                    <w:i/>
                                    <w:iCs/>
                                    <w:color w:val="000000"/>
                                    <w:sz w:val="24"/>
                                    <w:szCs w:val="24"/>
                                    <w:lang w:val="en-US"/>
                                  </w:rPr>
                                  <w:t>Log</w:t>
                                </w:r>
                              </w:p>
                            </w:txbxContent>
                          </v:textbox>
                        </v:rect>
                        <v:rect id="Rectangle 63" o:spid="_x0000_s1082" style="position:absolute;left:1527;top:56;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TVsIA&#10;AADcAAAADwAAAGRycy9kb3ducmV2LnhtbERP22oCMRB9L/gPYYS+1ewWK7oaxQpiKfjg5QOGzbhZ&#10;3UzWJOr275tCwbc5nOvMFp1txJ18qB0ryAcZCOLS6ZorBcfD+m0MIkRkjY1jUvBDARbz3ssMC+0e&#10;vKP7PlYihXAoUIGJsS2kDKUhi2HgWuLEnZy3GBP0ldQeHyncNvI9y0bSYs2pwWBLK0PlZX+zCuhz&#10;s5ucl8Fspc9Dvv0eTYabq1Kv/W45BRGpi0/xv/tLp/nZB/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JNWwgAAANwAAAAPAAAAAAAAAAAAAAAAAJgCAABkcnMvZG93&#10;bnJldi54bWxQSwUGAAAAAAQABAD1AAAAhwMAAAAA&#10;" filled="f" stroked="f">
                          <v:textbox inset="0,0,0,0">
                            <w:txbxContent>
                              <w:p w:rsidR="00AB5450" w:rsidRPr="00D6160C"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64" o:spid="_x0000_s1083" style="position:absolute;left:2104;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AB5450" w:rsidRDefault="00AB5450" w:rsidP="00B338DD">
                                <w:r>
                                  <w:rPr>
                                    <w:rFonts w:ascii="Times" w:hAnsi="Times" w:cs="Times"/>
                                    <w:color w:val="000000"/>
                                    <w:sz w:val="24"/>
                                    <w:szCs w:val="24"/>
                                    <w:lang w:val="en-US"/>
                                  </w:rPr>
                                  <w:t>*</w:t>
                                </w:r>
                              </w:p>
                            </w:txbxContent>
                          </v:textbox>
                        </v:rect>
                        <v:rect id="Rectangle 65" o:spid="_x0000_s1084" style="position:absolute;left:2234;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AB5450" w:rsidRDefault="00AB5450" w:rsidP="00B338DD">
                                <w:r>
                                  <w:rPr>
                                    <w:rFonts w:ascii="Times" w:hAnsi="Times" w:cs="Times"/>
                                    <w:color w:val="000000"/>
                                    <w:sz w:val="24"/>
                                    <w:szCs w:val="24"/>
                                    <w:lang w:val="en-US"/>
                                  </w:rPr>
                                  <w:t>10</w:t>
                                </w:r>
                              </w:p>
                            </w:txbxContent>
                          </v:textbox>
                        </v:rect>
                        <v:rect id="Rectangle 66" o:spid="_x0000_s1085" style="position:absolute;left:2494;top:38;width:405;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AB5450" w:rsidRDefault="00AB5450" w:rsidP="00B338DD">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
                            </w:txbxContent>
                          </v:textbox>
                        </v:rect>
                        <v:rect id="Rectangle 67" o:spid="_x0000_s1086" style="position:absolute;left:2895;top:28;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AB5450" w:rsidRDefault="00AB5450" w:rsidP="00B338DD">
                                <w:r>
                                  <w:rPr>
                                    <w:rFonts w:ascii="Symbol" w:hAnsi="Symbol" w:cs="Symbol"/>
                                    <w:color w:val="000000"/>
                                    <w:sz w:val="24"/>
                                    <w:szCs w:val="24"/>
                                    <w:lang w:val="en-US"/>
                                  </w:rPr>
                                  <w:t></w:t>
                                </w:r>
                              </w:p>
                            </w:txbxContent>
                          </v:textbox>
                        </v:rect>
                        <v:rect id="Rectangle 68" o:spid="_x0000_s1087" style="position:absolute;left:3102;top:49;width:47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AB5450" w:rsidRPr="00E03A8E"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rect id="Rectangle 69" o:spid="_x0000_s1088" style="position:absolute;left:3536;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AB5450" w:rsidRDefault="00AB5450" w:rsidP="00B338DD">
                                <w:r>
                                  <w:rPr>
                                    <w:rFonts w:ascii="Times" w:hAnsi="Times" w:cs="Times"/>
                                    <w:color w:val="000000"/>
                                    <w:sz w:val="24"/>
                                    <w:szCs w:val="24"/>
                                    <w:lang w:val="en-US"/>
                                  </w:rPr>
                                  <w:t>*</w:t>
                                </w:r>
                              </w:p>
                            </w:txbxContent>
                          </v:textbox>
                        </v:rect>
                        <v:rect id="Rectangle 70" o:spid="_x0000_s1089" style="position:absolute;left:3656;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AB5450" w:rsidRDefault="00AB5450" w:rsidP="00B338DD">
                                <w:r>
                                  <w:rPr>
                                    <w:rFonts w:ascii="Times" w:hAnsi="Times" w:cs="Times"/>
                                    <w:color w:val="000000"/>
                                    <w:sz w:val="24"/>
                                    <w:szCs w:val="24"/>
                                    <w:lang w:val="en-US"/>
                                  </w:rPr>
                                  <w:t>10</w:t>
                                </w:r>
                              </w:p>
                            </w:txbxContent>
                          </v:textbox>
                        </v:rect>
                        <v:rect id="Rectangle 71" o:spid="_x0000_s1090" style="position:absolute;left:3916;top:38;width:344;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AB5450" w:rsidRPr="00E03A8E" w:rsidRDefault="00AB5450" w:rsidP="00B338DD">
                                <w:pPr>
                                  <w:rPr>
                                    <w:rFonts w:ascii="Times" w:hAnsi="Times" w:cs="Times"/>
                                    <w:i/>
                                    <w:iCs/>
                                    <w:color w:val="000000"/>
                                    <w:sz w:val="14"/>
                                    <w:szCs w:val="14"/>
                                    <w:lang w:val="en-US"/>
                                  </w:rPr>
                                </w:pPr>
                                <w:r>
                                  <w:rPr>
                                    <w:rFonts w:ascii="Times" w:hAnsi="Times" w:cs="Times"/>
                                    <w:i/>
                                    <w:iCs/>
                                    <w:color w:val="000000"/>
                                    <w:sz w:val="14"/>
                                    <w:szCs w:val="14"/>
                                    <w:lang w:val="en-US"/>
                                  </w:rPr>
                                  <w:t>pH</w:t>
                                </w:r>
                                <w:r w:rsidRPr="00E03A8E">
                                  <w:rPr>
                                    <w:rFonts w:ascii="Times" w:hAnsi="Times" w:cs="Times"/>
                                    <w:i/>
                                    <w:iCs/>
                                    <w:color w:val="000000"/>
                                    <w:sz w:val="14"/>
                                    <w:szCs w:val="14"/>
                                    <w:lang w:val="en-US"/>
                                  </w:rPr>
                                  <w:t>_р</w:t>
                                </w:r>
                              </w:p>
                            </w:txbxContent>
                          </v:textbox>
                        </v:rect>
                        <v:rect id="Rectangle 72" o:spid="_x0000_s1091" style="position:absolute;left:2719;top:367;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AB5450" w:rsidRDefault="00AB5450" w:rsidP="00B338DD">
                                <w:r>
                                  <w:rPr>
                                    <w:rFonts w:ascii="Symbol" w:hAnsi="Symbol" w:cs="Symbol"/>
                                    <w:color w:val="000000"/>
                                    <w:sz w:val="24"/>
                                    <w:szCs w:val="24"/>
                                    <w:lang w:val="en-US"/>
                                  </w:rPr>
                                  <w:t></w:t>
                                </w:r>
                              </w:p>
                            </w:txbxContent>
                          </v:textbox>
                        </v:rect>
                        <v:line id="Line 73" o:spid="_x0000_s1092" style="position:absolute;visibility:visible;mso-wrap-style:square" from="1517,365" to="422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CkFsIAAADcAAAADwAAAGRycy9kb3ducmV2LnhtbERPPW/CMBDdkfgP1lXqBg4dKEoxCFVU&#10;DSNJlmzX+Egi4nNku5Dy63ElJLZ7ep+33o6mFxdyvrOsYDFPQBDXVnfcKCiLr9kKhA/IGnvLpOCP&#10;PGw308kaU22vfKRLHhoRQ9inqKANYUil9HVLBv3cDsSRO1lnMEToGqkdXmO46eVbkiylwY5jQ4sD&#10;fbZUn/Nfo+CWFfuyyr6PP+WtKg429+79tFLq9WXcfYAINIan+OHOdJy/WML/M/EC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CkFsIAAADcAAAADwAAAAAAAAAAAAAA&#10;AAChAgAAZHJzL2Rvd25yZXYueG1sUEsFBgAAAAAEAAQA+QAAAJADAAAAAA==&#10;" strokeweight="28e-5mm"/>
                        <v:rect id="Rectangle 74" o:spid="_x0000_s1093" style="position:absolute;left:1427;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75" o:spid="_x0000_s1094" style="position:absolute;left:1427;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76" o:spid="_x0000_s1095" style="position:absolute;left:1427;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77" o:spid="_x0000_s1096" style="position:absolute;left:4215;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78" o:spid="_x0000_s1097" style="position:absolute;left:4215;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79" o:spid="_x0000_s1098" style="position:absolute;left:4215;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80" o:spid="_x0000_s1099" style="position:absolute;left:2941;top:380;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y2cIA&#10;AADcAAAADwAAAGRycy9kb3ducmV2LnhtbERPzWoCMRC+C75DGMGbZteK1NUoWihKwYO2DzBsxs22&#10;m8mapLq+fSMIvc3H9zvLdWcbcSUfascK8nEGgrh0uuZKwdfn++gVRIjIGhvHpOBOAdarfm+JhXY3&#10;PtL1FCuRQjgUqMDE2BZShtKQxTB2LXHizs5bjAn6SmqPtxRuGznJspm0WHNqMNjSm6Hy5/RrFdB2&#10;d5x/b4I5SJ+H/PAxm093F6WGg26zABGpi//ip3uv0/zJCzyeS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PLZwgAAANwAAAAPAAAAAAAAAAAAAAAAAJgCAABkcnMvZG93&#10;bnJldi54bWxQSwUGAAAAAAQABAD1AAAAhwMAAAAA&#10;" filled="f" stroked="f">
                          <v:textbox inset="0,0,0,0">
                            <w:txbxContent>
                              <w:p w:rsidR="00AB5450" w:rsidRPr="00D6160C"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81" o:spid="_x0000_s1100" style="position:absolute;left:2212;top:379;width:470;height:3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qrcEA&#10;AADcAAAADwAAAGRycy9kb3ducmV2LnhtbERP22oCMRB9F/yHMELfNLsioluj2EJRBB+8fMCwmW5W&#10;N5Ntkur696ZQ8G0O5zqLVWcbcSMfascK8lEGgrh0uuZKwfn0NZyBCBFZY+OYFDwowGrZ7y2w0O7O&#10;B7odYyVSCIcCFZgY20LKUBqyGEauJU7ct/MWY4K+ktrjPYXbRo6zbCot1pwaDLb0aai8Hn+tAvrY&#10;HOaXdTB76fOQ73fT+WTzo9TboFu/g4jUxZf4373Vaf54An/Pp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xaq3BAAAA3AAAAA8AAAAAAAAAAAAAAAAAmAIAAGRycy9kb3du&#10;cmV2LnhtbFBLBQYAAAAABAAEAPUAAACGAwAAAAA=&#10;" filled="f" stroked="f">
                          <v:textbox inset="0,0,0,0">
                            <w:txbxContent>
                              <w:p w:rsidR="00AB5450" w:rsidRPr="00E03A8E"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group>
                      <w10:anchorlock/>
                    </v:group>
                  </w:pict>
                </mc:Fallback>
              </mc:AlternateContent>
            </w:r>
            <w:r w:rsidR="008D6E9B" w:rsidRPr="0070774F">
              <w:rPr>
                <w:rFonts w:ascii="Times New Roman" w:hAnsi="Times New Roman" w:cs="Times New Roman"/>
                <w:i/>
                <w:iCs/>
                <w:position w:val="-48"/>
                <w:lang w:val="bg-BG"/>
              </w:rPr>
              <w:t>(Eq 1)</w:t>
            </w:r>
          </w:p>
          <w:p w:rsidR="008D6E9B" w:rsidRPr="0070774F" w:rsidRDefault="008D6E9B" w:rsidP="009D4C75">
            <w:pPr>
              <w:tabs>
                <w:tab w:val="left" w:pos="1701"/>
              </w:tabs>
              <w:spacing w:before="60" w:after="60" w:line="240" w:lineRule="auto"/>
              <w:ind w:left="720"/>
              <w:jc w:val="both"/>
              <w:rPr>
                <w:rFonts w:ascii="Arial" w:hAnsi="Arial" w:cs="Arial"/>
                <w:sz w:val="16"/>
                <w:szCs w:val="16"/>
                <w:lang w:val="bg-BG" w:eastAsia="de-DE"/>
              </w:rPr>
            </w:pPr>
            <w:r w:rsidRPr="0070774F">
              <w:rPr>
                <w:rFonts w:ascii="Arial" w:hAnsi="Arial" w:cs="Arial"/>
                <w:sz w:val="16"/>
                <w:szCs w:val="16"/>
                <w:lang w:val="bg-BG"/>
              </w:rPr>
              <w:t>Където:</w:t>
            </w:r>
          </w:p>
          <w:p w:rsidR="008D6E9B" w:rsidRPr="0070774F" w:rsidRDefault="008D6E9B" w:rsidP="009D4C75">
            <w:pPr>
              <w:tabs>
                <w:tab w:val="left" w:pos="1701"/>
              </w:tabs>
              <w:spacing w:before="60" w:after="60" w:line="240" w:lineRule="auto"/>
              <w:ind w:left="720"/>
              <w:jc w:val="both"/>
              <w:rPr>
                <w:rFonts w:ascii="Arial" w:hAnsi="Arial" w:cs="Arial"/>
                <w:sz w:val="16"/>
                <w:szCs w:val="16"/>
                <w:lang w:val="bg-BG" w:eastAsia="de-DE"/>
              </w:rPr>
            </w:pPr>
            <w:r w:rsidRPr="0070774F">
              <w:rPr>
                <w:rFonts w:ascii="Arial" w:hAnsi="Arial" w:cs="Arial"/>
                <w:sz w:val="16"/>
                <w:szCs w:val="16"/>
                <w:lang w:val="bg-BG"/>
              </w:rPr>
              <w:t>Q_ов се отнася до отпадния поток (в m³/ден)</w:t>
            </w:r>
          </w:p>
          <w:p w:rsidR="008D6E9B" w:rsidRPr="0070774F" w:rsidRDefault="008D6E9B" w:rsidP="009D4C75">
            <w:pPr>
              <w:tabs>
                <w:tab w:val="left" w:pos="1701"/>
              </w:tabs>
              <w:spacing w:before="60" w:after="60" w:line="240" w:lineRule="auto"/>
              <w:ind w:left="720"/>
              <w:jc w:val="both"/>
              <w:rPr>
                <w:rFonts w:ascii="Arial" w:hAnsi="Arial" w:cs="Arial"/>
                <w:sz w:val="16"/>
                <w:szCs w:val="16"/>
                <w:lang w:val="bg-BG" w:eastAsia="de-DE"/>
              </w:rPr>
            </w:pPr>
            <w:r w:rsidRPr="0070774F">
              <w:rPr>
                <w:rFonts w:ascii="Arial" w:hAnsi="Arial" w:cs="Arial"/>
                <w:sz w:val="16"/>
                <w:szCs w:val="16"/>
                <w:lang w:val="bg-BG"/>
              </w:rPr>
              <w:t>Q_р се отнася до поток на реката нагоре по течението(в m³/ден)</w:t>
            </w:r>
          </w:p>
          <w:p w:rsidR="008D6E9B" w:rsidRPr="0070774F" w:rsidRDefault="008D6E9B" w:rsidP="009D4C75">
            <w:pPr>
              <w:tabs>
                <w:tab w:val="left" w:pos="1701"/>
              </w:tabs>
              <w:spacing w:before="60" w:after="60" w:line="240" w:lineRule="auto"/>
              <w:ind w:left="720"/>
              <w:jc w:val="both"/>
              <w:rPr>
                <w:rFonts w:ascii="Arial" w:hAnsi="Arial" w:cs="Arial"/>
                <w:sz w:val="16"/>
                <w:szCs w:val="16"/>
                <w:lang w:val="bg-BG" w:eastAsia="de-DE"/>
              </w:rPr>
            </w:pPr>
            <w:r w:rsidRPr="0070774F">
              <w:rPr>
                <w:rFonts w:ascii="Arial" w:hAnsi="Arial" w:cs="Arial"/>
                <w:sz w:val="16"/>
                <w:szCs w:val="16"/>
                <w:lang w:val="bg-BG"/>
              </w:rPr>
              <w:t>pH_ов се отнася до pH на отпадните води</w:t>
            </w:r>
          </w:p>
          <w:p w:rsidR="008D6E9B" w:rsidRPr="0070774F" w:rsidRDefault="008D6E9B" w:rsidP="009D4C75">
            <w:pPr>
              <w:tabs>
                <w:tab w:val="left" w:pos="1701"/>
              </w:tabs>
              <w:spacing w:before="60" w:after="60" w:line="240" w:lineRule="auto"/>
              <w:ind w:left="720"/>
              <w:jc w:val="both"/>
              <w:rPr>
                <w:rFonts w:ascii="Arial" w:hAnsi="Arial" w:cs="Arial"/>
                <w:sz w:val="16"/>
                <w:szCs w:val="16"/>
                <w:lang w:val="bg-BG" w:eastAsia="de-DE"/>
              </w:rPr>
            </w:pPr>
            <w:r w:rsidRPr="0070774F">
              <w:rPr>
                <w:rFonts w:ascii="Arial" w:hAnsi="Arial" w:cs="Arial"/>
                <w:sz w:val="16"/>
                <w:szCs w:val="16"/>
                <w:lang w:val="bg-BG"/>
              </w:rPr>
              <w:t>pH_р се отнася до pH на реката, нагоре по течението от точката на заустване</w:t>
            </w:r>
          </w:p>
          <w:p w:rsidR="008D6E9B" w:rsidRPr="0070774F" w:rsidRDefault="008D6E9B" w:rsidP="009D4C75">
            <w:pPr>
              <w:tabs>
                <w:tab w:val="left" w:pos="1701"/>
              </w:tabs>
              <w:spacing w:before="60" w:after="60" w:line="240" w:lineRule="auto"/>
              <w:ind w:left="720"/>
              <w:jc w:val="both"/>
              <w:rPr>
                <w:rFonts w:ascii="Arial" w:hAnsi="Arial" w:cs="Arial"/>
                <w:sz w:val="16"/>
                <w:szCs w:val="16"/>
                <w:lang w:val="bg-BG" w:eastAsia="de-DE"/>
              </w:rPr>
            </w:pPr>
            <w:r w:rsidRPr="0070774F">
              <w:rPr>
                <w:rFonts w:ascii="Arial" w:hAnsi="Arial" w:cs="Arial"/>
                <w:sz w:val="16"/>
                <w:szCs w:val="16"/>
                <w:lang w:val="bg-BG"/>
              </w:rPr>
              <w:t>Моля обърнете внимание, че първоначално могат да се използват стойности по презумпция:</w:t>
            </w:r>
          </w:p>
          <w:p w:rsidR="008D6E9B" w:rsidRPr="0070774F" w:rsidRDefault="008D6E9B"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774F">
              <w:rPr>
                <w:rFonts w:ascii="Arial" w:hAnsi="Arial" w:cs="Arial"/>
                <w:sz w:val="16"/>
                <w:szCs w:val="16"/>
                <w:lang w:val="bg-BG"/>
              </w:rPr>
              <w:t>Q-р нагоре по течението: използвайте 1/10 от дистрибуцията по съществуващите измервания или по презумпция стойността 18 000 m³/ден</w:t>
            </w:r>
          </w:p>
          <w:p w:rsidR="008D6E9B" w:rsidRPr="0070774F" w:rsidRDefault="008D6E9B"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774F">
              <w:rPr>
                <w:rFonts w:ascii="Arial" w:hAnsi="Arial" w:cs="Arial"/>
                <w:sz w:val="16"/>
                <w:szCs w:val="16"/>
                <w:lang w:val="bg-BG"/>
              </w:rPr>
              <w:t>Q_ов: използвайте по презумпция стойността 2000 m³/ден</w:t>
            </w:r>
          </w:p>
          <w:p w:rsidR="008D6E9B" w:rsidRPr="0070774F" w:rsidRDefault="008D6E9B"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774F">
              <w:rPr>
                <w:rFonts w:ascii="Arial" w:hAnsi="Arial" w:cs="Arial"/>
                <w:sz w:val="16"/>
                <w:szCs w:val="16"/>
                <w:lang w:val="bg-BG"/>
              </w:rPr>
              <w:t>pH_р за предпочитане се измерва. Ако няма измервания, приемете неутрално pH = 7, ако това е оправдано.</w:t>
            </w:r>
          </w:p>
          <w:p w:rsidR="008D6E9B" w:rsidRPr="0070774F" w:rsidRDefault="008D6E9B" w:rsidP="009D4C75">
            <w:pPr>
              <w:tabs>
                <w:tab w:val="left" w:pos="1701"/>
              </w:tabs>
              <w:spacing w:before="60" w:after="60" w:line="240" w:lineRule="auto"/>
              <w:jc w:val="both"/>
              <w:rPr>
                <w:rFonts w:ascii="Arial" w:hAnsi="Arial" w:cs="Arial"/>
                <w:sz w:val="16"/>
                <w:szCs w:val="16"/>
                <w:lang w:val="bg-BG" w:eastAsia="de-DE"/>
              </w:rPr>
            </w:pPr>
            <w:r w:rsidRPr="0070774F">
              <w:rPr>
                <w:rFonts w:ascii="Arial" w:hAnsi="Arial" w:cs="Arial"/>
                <w:sz w:val="16"/>
                <w:szCs w:val="16"/>
                <w:lang w:val="bg-BG"/>
              </w:rPr>
              <w:t>Такъв вид изчисления трябва да се разглеждат като най-лош сценарий, когато водните условия са стандартни и в случая няма нищо специфично.</w:t>
            </w:r>
          </w:p>
          <w:p w:rsidR="008D6E9B" w:rsidRPr="0070774F" w:rsidRDefault="008D6E9B" w:rsidP="009D4C75">
            <w:pPr>
              <w:tabs>
                <w:tab w:val="left" w:pos="1701"/>
              </w:tabs>
              <w:spacing w:before="60" w:after="60" w:line="240" w:lineRule="auto"/>
              <w:jc w:val="both"/>
              <w:rPr>
                <w:rFonts w:ascii="Arial" w:hAnsi="Arial" w:cs="Arial"/>
                <w:sz w:val="16"/>
                <w:szCs w:val="16"/>
                <w:lang w:val="bg-BG" w:eastAsia="de-DE"/>
              </w:rPr>
            </w:pPr>
          </w:p>
          <w:p w:rsidR="008D6E9B" w:rsidRPr="00703017" w:rsidRDefault="008D6E9B" w:rsidP="009D4C75">
            <w:pPr>
              <w:tabs>
                <w:tab w:val="left" w:pos="1701"/>
              </w:tabs>
              <w:spacing w:before="60" w:after="60" w:line="240" w:lineRule="auto"/>
              <w:rPr>
                <w:rFonts w:ascii="Arial" w:hAnsi="Arial" w:cs="Arial"/>
                <w:sz w:val="16"/>
                <w:szCs w:val="16"/>
                <w:lang w:val="bg-BG" w:eastAsia="de-DE"/>
              </w:rPr>
            </w:pPr>
            <w:r w:rsidRPr="0070774F">
              <w:rPr>
                <w:rFonts w:ascii="Arial" w:hAnsi="Arial" w:cs="Arial"/>
                <w:b/>
                <w:bCs/>
                <w:sz w:val="16"/>
                <w:szCs w:val="16"/>
                <w:lang w:val="bg-BG"/>
              </w:rPr>
              <w:t>Ред 2б</w:t>
            </w:r>
            <w:r w:rsidRPr="0070774F">
              <w:rPr>
                <w:rFonts w:ascii="Arial" w:hAnsi="Arial" w:cs="Arial"/>
                <w:sz w:val="16"/>
                <w:szCs w:val="16"/>
                <w:lang w:val="bg-BG"/>
              </w:rPr>
              <w:t>: Изчисление 1 (Eq 1) може де се използва за определяне на това, кой pH на обратните води до непоносими нива на pH в приемника. За целта, pH на реката се прима за 9, а pH на отходните води съответно се изчислява (с използването на стойностите по презумпция, както бе показано по-горе, ако това се налага). Тъй като температурата оказва влияние на разтворимостта на варта, pH на отходните води може да се наложи да се наглася според случая. След като се установи максималната допустима стойност на pH в отходните води, се приема че всички концентрации на OH се дължат на изпускане на вар и не съществуват условия на буферен капацитет, които заслужават внимание (това е един нереалистичен най-лош сценарий, който може да бъде усъвършенстван при наличие на някаква допълнителна информация). Максималното количество вар, което може да бъде изпуснато годишно, без това отрицателно да повлияе стойностите на pH в приемащите води се изчислява, като се приеме наличието на химическо равновесие. OH, изразено в молове/литри, се умножава по средния поток на отпадните води и след това се дели на моларната маса на CaO.</w:t>
            </w:r>
          </w:p>
        </w:tc>
      </w:tr>
      <w:tr w:rsidR="008D6E9B" w:rsidRPr="00703017">
        <w:trPr>
          <w:trHeight w:val="7476"/>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tabs>
                <w:tab w:val="left" w:pos="1701"/>
              </w:tabs>
              <w:spacing w:before="60" w:after="60" w:line="240" w:lineRule="auto"/>
              <w:jc w:val="both"/>
              <w:rPr>
                <w:rFonts w:ascii="Arial" w:hAnsi="Arial" w:cs="Arial"/>
                <w:sz w:val="16"/>
                <w:szCs w:val="16"/>
                <w:lang w:val="bg-BG" w:eastAsia="de-DE"/>
              </w:rPr>
            </w:pPr>
            <w:r w:rsidRPr="00703017">
              <w:rPr>
                <w:rFonts w:ascii="Arial" w:hAnsi="Arial" w:cs="Arial"/>
                <w:b/>
                <w:bCs/>
                <w:sz w:val="16"/>
                <w:szCs w:val="16"/>
                <w:lang w:val="bg-BG"/>
              </w:rPr>
              <w:lastRenderedPageBreak/>
              <w:t>Ред 3</w:t>
            </w:r>
            <w:r w:rsidRPr="00703017">
              <w:rPr>
                <w:rFonts w:ascii="Arial" w:hAnsi="Arial" w:cs="Arial"/>
                <w:sz w:val="16"/>
                <w:szCs w:val="16"/>
                <w:lang w:val="bg-BG"/>
              </w:rPr>
              <w:t>: измерете pH на приемащите води след точката на заустване. Ако pH е под 9, това разумно демонстрира безопасно ползване, с което ES приключва. Ако pH се окаже над 9, тогава се налага прилагане на мерки за управление на риска: отпадните води трябва да преминат през неутрализация, като с това се осигурява безопасно използване на варта във фазите на производство и потребление.</w:t>
            </w:r>
          </w:p>
          <w:p w:rsidR="008D6E9B" w:rsidRPr="00703017" w:rsidRDefault="001D5CEE" w:rsidP="009D4C75">
            <w:pPr>
              <w:tabs>
                <w:tab w:val="left" w:pos="1701"/>
              </w:tabs>
              <w:spacing w:before="60" w:after="60" w:line="240" w:lineRule="auto"/>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5000625" cy="7258050"/>
                  <wp:effectExtent l="0" t="0" r="9525" b="0"/>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0625" cy="7258050"/>
                          </a:xfrm>
                          <a:prstGeom prst="rect">
                            <a:avLst/>
                          </a:prstGeom>
                          <a:noFill/>
                          <a:ln>
                            <a:noFill/>
                          </a:ln>
                        </pic:spPr>
                      </pic:pic>
                    </a:graphicData>
                  </a:graphic>
                </wp:inline>
              </w:drawing>
            </w:r>
          </w:p>
        </w:tc>
      </w:tr>
    </w:tbl>
    <w:p w:rsidR="008D6E9B" w:rsidRPr="00703017" w:rsidRDefault="008D6E9B" w:rsidP="00747C73">
      <w:pPr>
        <w:keepNext/>
        <w:pageBreakBefore/>
        <w:tabs>
          <w:tab w:val="left" w:pos="1418"/>
        </w:tabs>
        <w:spacing w:before="240" w:after="60"/>
        <w:outlineLvl w:val="1"/>
        <w:rPr>
          <w:rFonts w:ascii="Arial" w:hAnsi="Arial" w:cs="Arial"/>
          <w:b/>
          <w:bCs/>
          <w:sz w:val="28"/>
          <w:szCs w:val="28"/>
          <w:lang w:val="bg-BG"/>
        </w:rPr>
      </w:pPr>
      <w:bookmarkStart w:id="11" w:name="_Toc270425135"/>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4: Производство и промишлена употреба на високо запрашени твърди/прахообразни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5"/>
        <w:gridCol w:w="2575"/>
        <w:gridCol w:w="1445"/>
        <w:gridCol w:w="1629"/>
        <w:gridCol w:w="1858"/>
      </w:tblGrid>
      <w:tr w:rsidR="008D6E9B" w:rsidRPr="0070774F">
        <w:trPr>
          <w:trHeight w:val="315"/>
          <w:jc w:val="center"/>
        </w:trPr>
        <w:tc>
          <w:tcPr>
            <w:tcW w:w="0" w:type="auto"/>
            <w:gridSpan w:val="5"/>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D6E9B" w:rsidRPr="00703017">
        <w:trPr>
          <w:trHeight w:val="315"/>
          <w:jc w:val="center"/>
        </w:trPr>
        <w:tc>
          <w:tcPr>
            <w:tcW w:w="0" w:type="auto"/>
            <w:gridSpan w:val="5"/>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D6E9B" w:rsidRPr="0070774F">
        <w:trPr>
          <w:trHeight w:val="315"/>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4"/>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Производство и промишлена употреба на силно запрашени твърди/прахообразни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D6E9B" w:rsidRPr="0070774F">
        <w:trPr>
          <w:trHeight w:val="1349"/>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4"/>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SU3, SU1, SU2a, SU2b, SU4, SU5, SU6a, SU6b, SU7, SU8, SU9, SU10, SU11, SU12, SU13, SU14, SU15, SU16, SU17, SU18, SU19, SU20, SU23, SU24</w:t>
            </w:r>
            <w:r w:rsidRPr="00703017">
              <w:rPr>
                <w:lang w:val="bg-BG"/>
              </w:rPr>
              <w:br/>
            </w:r>
            <w:r w:rsidRPr="00703017">
              <w:rPr>
                <w:rFonts w:ascii="Arial" w:hAnsi="Arial" w:cs="Arial"/>
                <w:sz w:val="16"/>
                <w:szCs w:val="16"/>
                <w:lang w:val="bg-BG"/>
              </w:rPr>
              <w:t>PC1, PC2, PC3, PC7, PC8, PC9a, PC9b, PC11, PC12, PC13, PC14, PC15, PC16, PC17, PC18, PC19, PC20, PC21, PC23, PC24, PC25, PC26, PC27, PC28, PC29, PC30, PC31, PC32, PC33, PC34, PC35, PC36, PC37, PC38, PC39, PC40</w:t>
            </w:r>
            <w:r w:rsidRPr="00703017">
              <w:rPr>
                <w:lang w:val="bg-BG"/>
              </w:rPr>
              <w:br/>
            </w:r>
            <w:r w:rsidRPr="00703017">
              <w:rPr>
                <w:rFonts w:ascii="Arial" w:hAnsi="Arial" w:cs="Arial"/>
                <w:sz w:val="16"/>
                <w:szCs w:val="16"/>
                <w:lang w:val="bg-BG"/>
              </w:rPr>
              <w:t>AC1, AC2, AC3, AC4, AC5, AC6, AC7, AC8, AC10, AC11, AC13</w:t>
            </w:r>
          </w:p>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D6E9B" w:rsidRPr="0070774F">
        <w:trPr>
          <w:trHeight w:val="525"/>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4"/>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D6E9B" w:rsidRPr="0070774F">
        <w:trPr>
          <w:trHeight w:val="444"/>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4"/>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w:t>
            </w:r>
          </w:p>
        </w:tc>
      </w:tr>
      <w:tr w:rsidR="008D6E9B" w:rsidRPr="0070774F">
        <w:trPr>
          <w:trHeight w:val="315"/>
          <w:jc w:val="center"/>
        </w:trPr>
        <w:tc>
          <w:tcPr>
            <w:tcW w:w="0" w:type="auto"/>
            <w:gridSpan w:val="5"/>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D6E9B" w:rsidRPr="00703017">
        <w:trPr>
          <w:trHeight w:val="315"/>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PROC/ERC</w:t>
            </w:r>
          </w:p>
        </w:tc>
        <w:tc>
          <w:tcPr>
            <w:tcW w:w="0" w:type="auto"/>
            <w:gridSpan w:val="2"/>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0" w:type="auto"/>
            <w:gridSpan w:val="2"/>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процес, няма вероятност от експозиция</w:t>
            </w:r>
          </w:p>
        </w:tc>
        <w:tc>
          <w:tcPr>
            <w:tcW w:w="0" w:type="auto"/>
            <w:gridSpan w:val="2"/>
            <w:vMerge w:val="restart"/>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Повече информация е представена в Ръководството ECHA за информационните изисквания и оценка на безопасността на химичните вещаства, Глава R.12: Дескрипторна система на употребите (ECHA-2010-G-05-EN).</w:t>
            </w: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непрекъснат процес със случайно контролирана експозиция</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3</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периодичен процес (синтез или формулиране)</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периодичен или друг процес (синтез), където се появява възможност за експозиция</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5</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Смесване или блендиране в периодичен процес за формулиране на препарати и изделия (многостепенен и/или значителен контакт)</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Пулверизиране в промишлена среда</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8a</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общи съоръжения</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8b</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специални съоръжения</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9</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в малки контейнери (специална линия за пълнене, включително претегляне)</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10</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Нанасяне с валяк или с четка</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13</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Третиране на изделия при боядисване чрез потапяне и изливане</w:t>
            </w:r>
          </w:p>
        </w:tc>
        <w:tc>
          <w:tcPr>
            <w:tcW w:w="0" w:type="auto"/>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14</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на препарати или изделия чрез таблетиране, компресия, екструдиране, пелетиране</w:t>
            </w:r>
          </w:p>
        </w:tc>
        <w:tc>
          <w:tcPr>
            <w:tcW w:w="0" w:type="auto"/>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3017">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15</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лабораторни реагенти</w:t>
            </w:r>
          </w:p>
        </w:tc>
        <w:tc>
          <w:tcPr>
            <w:tcW w:w="0" w:type="auto"/>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16</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материал като горивен източник, очаква се ограничена експозиция към неизгорял продукт</w:t>
            </w:r>
          </w:p>
        </w:tc>
        <w:tc>
          <w:tcPr>
            <w:tcW w:w="0" w:type="auto"/>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Смазване при високо енергийни условия и в частично открит процес</w:t>
            </w:r>
          </w:p>
        </w:tc>
        <w:tc>
          <w:tcPr>
            <w:tcW w:w="0" w:type="auto"/>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18</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Гресиране при високо енергийни условия</w:t>
            </w:r>
          </w:p>
        </w:tc>
        <w:tc>
          <w:tcPr>
            <w:tcW w:w="0" w:type="auto"/>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Ръчно смесване с близък контакт и налични само ЛПС</w:t>
            </w:r>
          </w:p>
        </w:tc>
        <w:tc>
          <w:tcPr>
            <w:tcW w:w="0" w:type="auto"/>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22</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Потенциално закрити обработващи операции с минерали/метали при повишена температура </w:t>
            </w:r>
            <w:r w:rsidRPr="00703017">
              <w:rPr>
                <w:lang w:val="bg-BG"/>
              </w:rPr>
              <w:br/>
            </w:r>
            <w:r w:rsidRPr="00703017">
              <w:rPr>
                <w:rFonts w:ascii="Arial" w:hAnsi="Arial" w:cs="Arial"/>
                <w:sz w:val="16"/>
                <w:szCs w:val="16"/>
                <w:lang w:val="bg-BG"/>
              </w:rPr>
              <w:t>Промишлена обстановка</w:t>
            </w:r>
          </w:p>
        </w:tc>
        <w:tc>
          <w:tcPr>
            <w:tcW w:w="0" w:type="auto"/>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lastRenderedPageBreak/>
              <w:t>PROC 23</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Открита обработка и трансфер с минерали/метали при повишена температура</w:t>
            </w:r>
          </w:p>
        </w:tc>
        <w:tc>
          <w:tcPr>
            <w:tcW w:w="0" w:type="auto"/>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24</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Висока (механична) енергия при обработване на вещества, свързани в материали и/или изделия</w:t>
            </w:r>
          </w:p>
        </w:tc>
        <w:tc>
          <w:tcPr>
            <w:tcW w:w="0" w:type="auto"/>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Други горещи работни операции с метали</w:t>
            </w:r>
          </w:p>
        </w:tc>
        <w:tc>
          <w:tcPr>
            <w:tcW w:w="0" w:type="auto"/>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26</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Обработка на твърди неорганични вещества при нормална температура на околната среда</w:t>
            </w:r>
          </w:p>
        </w:tc>
        <w:tc>
          <w:tcPr>
            <w:tcW w:w="0" w:type="auto"/>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27a</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на метали на прах (гореща обработка)</w:t>
            </w:r>
          </w:p>
        </w:tc>
        <w:tc>
          <w:tcPr>
            <w:tcW w:w="0" w:type="auto"/>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27b</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на метали на прах (мокра обработка)</w:t>
            </w:r>
          </w:p>
        </w:tc>
        <w:tc>
          <w:tcPr>
            <w:tcW w:w="0" w:type="auto"/>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ERC 1-7, 12</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формулиране и всички начини на промишлена употреба</w:t>
            </w:r>
          </w:p>
        </w:tc>
        <w:tc>
          <w:tcPr>
            <w:tcW w:w="0" w:type="auto"/>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cantSplit/>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 xml:space="preserve">ERC 10, 11 </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Широко дисперсивна употреба на открито и в закрити помещения на изделия и материали с дълъг живот </w:t>
            </w:r>
          </w:p>
        </w:tc>
        <w:tc>
          <w:tcPr>
            <w:tcW w:w="0" w:type="auto"/>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15"/>
          <w:jc w:val="center"/>
        </w:trPr>
        <w:tc>
          <w:tcPr>
            <w:tcW w:w="0" w:type="auto"/>
            <w:gridSpan w:val="5"/>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2.1 Контрол на експозицията на работниците</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trHeight w:val="841"/>
          <w:jc w:val="center"/>
        </w:trPr>
        <w:tc>
          <w:tcPr>
            <w:tcW w:w="0" w:type="auto"/>
            <w:gridSpan w:val="5"/>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абразивност се взема предвид нивото й, вместо вътрешно присъщия емисионен потенциал на веществото.</w:t>
            </w: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 23, 25, 27a</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r w:rsidRPr="00703017">
              <w:rPr>
                <w:lang w:val="bg-BG"/>
              </w:rPr>
              <w:br/>
            </w:r>
            <w:r w:rsidRPr="00703017">
              <w:rPr>
                <w:rFonts w:ascii="Arial" w:hAnsi="Arial" w:cs="Arial"/>
                <w:sz w:val="16"/>
                <w:szCs w:val="16"/>
                <w:lang w:val="bg-BG"/>
              </w:rPr>
              <w:t>разтопени</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D6E9B" w:rsidRPr="00703017">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774F">
        <w:trPr>
          <w:trHeight w:val="673"/>
          <w:jc w:val="center"/>
        </w:trPr>
        <w:tc>
          <w:tcPr>
            <w:tcW w:w="0" w:type="auto"/>
            <w:gridSpan w:val="5"/>
            <w:vAlign w:val="center"/>
          </w:tcPr>
          <w:p w:rsidR="008D6E9B" w:rsidRPr="00703017" w:rsidRDefault="008D6E9B"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детерминант на вътрешно присъщия на процеса емисионен потенциал.</w:t>
            </w:r>
          </w:p>
        </w:tc>
      </w:tr>
      <w:tr w:rsidR="008D6E9B" w:rsidRPr="0070774F">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D6E9B" w:rsidRPr="00703017">
        <w:trPr>
          <w:trHeight w:val="301"/>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4"/>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D6E9B" w:rsidRPr="00703017">
        <w:trPr>
          <w:trHeight w:val="301"/>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 8a, 17, 18, 19, 22</w:t>
            </w:r>
          </w:p>
        </w:tc>
        <w:tc>
          <w:tcPr>
            <w:tcW w:w="0" w:type="auto"/>
            <w:gridSpan w:val="4"/>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D6E9B" w:rsidRPr="00703017">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4"/>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D6E9B" w:rsidRPr="00703017">
        <w:trPr>
          <w:trHeight w:val="315"/>
          <w:jc w:val="center"/>
        </w:trPr>
        <w:tc>
          <w:tcPr>
            <w:tcW w:w="0" w:type="auto"/>
            <w:gridSpan w:val="5"/>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D6E9B" w:rsidRPr="0070774F">
        <w:trPr>
          <w:cantSplit/>
          <w:trHeight w:val="631"/>
          <w:jc w:val="center"/>
        </w:trPr>
        <w:tc>
          <w:tcPr>
            <w:tcW w:w="0" w:type="auto"/>
            <w:gridSpan w:val="5"/>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Работни условия, като температура и налягане на процеса, се считат за ирелевантни при оценката на професионалната експозиция на извършваните процеси. На етапи на процеса с много висока температура (напр. PROC 22, 23, 25), оценката на експозицията в MEASE обаче се основава и на отношението между температурата на процеса и точката на разтапяне. Тъй като свързаните с процеса температури се различават значително в различните производства, най-високият процент се приема за най-лошия случай на презумпция за целите на оценката на експозицията. По такъв начин всички температури на процеса автоматично се покриват в този сценарий на експозиция за PROC 22, 23 и PROC 25.</w:t>
            </w:r>
          </w:p>
        </w:tc>
      </w:tr>
      <w:tr w:rsidR="008D6E9B" w:rsidRPr="0070774F">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774F">
        <w:trPr>
          <w:trHeight w:val="315"/>
          <w:jc w:val="center"/>
        </w:trPr>
        <w:tc>
          <w:tcPr>
            <w:tcW w:w="0" w:type="auto"/>
            <w:gridSpan w:val="5"/>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Измервания на ниво процес като елемент на управлението на риска (напр. задържане или сегрегиране на емисионния източник) по принцип не се изискват при процесите.</w:t>
            </w:r>
          </w:p>
        </w:tc>
      </w:tr>
      <w:tr w:rsidR="008D6E9B" w:rsidRPr="0070774F">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Технически условия и мерки за контрол на дисперсията от източника към работника</w:t>
            </w: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D6E9B" w:rsidRPr="00703017">
        <w:trPr>
          <w:trHeight w:val="42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w:t>
            </w:r>
          </w:p>
        </w:tc>
        <w:tc>
          <w:tcPr>
            <w:tcW w:w="0" w:type="auto"/>
            <w:vMerge w:val="restart"/>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Всяко потенциално налагащо се откъсване на работниците от емисионния източник се включва по-горе под надслова </w:t>
            </w:r>
            <w:r>
              <w:rPr>
                <w:rFonts w:ascii="Arial" w:hAnsi="Arial" w:cs="Arial"/>
                <w:sz w:val="16"/>
                <w:szCs w:val="16"/>
                <w:lang w:val="bg-BG"/>
              </w:rPr>
              <w:t>„</w:t>
            </w:r>
            <w:r w:rsidRPr="00703017">
              <w:rPr>
                <w:rFonts w:ascii="Arial" w:hAnsi="Arial" w:cs="Arial"/>
                <w:sz w:val="16"/>
                <w:szCs w:val="16"/>
                <w:lang w:val="bg-BG"/>
              </w:rPr>
              <w:t>Честота и 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Намаляване на продължителността на експозицията може да се постигне, примерно, чрез инсталиране на вентилирани контролни стаи (позитивно налягане) или чрез извеждане на работника от работното място със съответната експозиция.</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42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 3</w:t>
            </w:r>
          </w:p>
        </w:tc>
        <w:tc>
          <w:tcPr>
            <w:tcW w:w="0" w:type="auto"/>
            <w:vMerge/>
            <w:vAlign w:val="center"/>
          </w:tcPr>
          <w:p w:rsidR="008D6E9B" w:rsidRPr="00703017" w:rsidRDefault="008D6E9B" w:rsidP="009D4C75">
            <w:pPr>
              <w:keepNext/>
              <w:jc w:val="center"/>
              <w:rPr>
                <w:rFonts w:ascii="Arial" w:hAnsi="Arial" w:cs="Arial"/>
                <w:sz w:val="16"/>
                <w:szCs w:val="16"/>
                <w:lang w:val="bg-BG" w:eastAsia="de-DE"/>
              </w:rPr>
            </w:pP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обща вентилация</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17 %</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42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w:t>
            </w:r>
          </w:p>
        </w:tc>
        <w:tc>
          <w:tcPr>
            <w:tcW w:w="0" w:type="auto"/>
            <w:vMerge/>
            <w:vAlign w:val="center"/>
          </w:tcPr>
          <w:p w:rsidR="008D6E9B" w:rsidRPr="00703017" w:rsidRDefault="008D6E9B" w:rsidP="009D4C75">
            <w:pPr>
              <w:keepNext/>
              <w:jc w:val="center"/>
              <w:rPr>
                <w:rFonts w:ascii="Arial" w:hAnsi="Arial" w:cs="Arial"/>
                <w:sz w:val="16"/>
                <w:szCs w:val="16"/>
                <w:lang w:val="bg-BG" w:eastAsia="de-DE"/>
              </w:rPr>
            </w:pP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интегрирана локална вентилация на отработените газове</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84 %</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42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vMerge/>
            <w:vAlign w:val="center"/>
          </w:tcPr>
          <w:p w:rsidR="008D6E9B" w:rsidRPr="00703017" w:rsidRDefault="008D6E9B" w:rsidP="009D4C75">
            <w:pPr>
              <w:keepNext/>
              <w:jc w:val="center"/>
              <w:rPr>
                <w:rFonts w:ascii="Arial" w:hAnsi="Arial" w:cs="Arial"/>
                <w:sz w:val="16"/>
                <w:szCs w:val="16"/>
                <w:lang w:val="bg-BG" w:eastAsia="de-DE"/>
              </w:rPr>
            </w:pP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неприложимо</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cantSplit/>
          <w:trHeight w:val="42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Merge/>
            <w:vAlign w:val="center"/>
          </w:tcPr>
          <w:p w:rsidR="008D6E9B" w:rsidRPr="00703017" w:rsidRDefault="008D6E9B" w:rsidP="009D4C75">
            <w:pPr>
              <w:spacing w:line="240" w:lineRule="auto"/>
              <w:jc w:val="center"/>
              <w:rPr>
                <w:rFonts w:ascii="Arial" w:hAnsi="Arial" w:cs="Arial"/>
                <w:sz w:val="16"/>
                <w:szCs w:val="16"/>
                <w:lang w:val="bg-BG" w:eastAsia="de-DE"/>
              </w:rPr>
            </w:pPr>
          </w:p>
        </w:tc>
        <w:tc>
          <w:tcPr>
            <w:tcW w:w="0" w:type="auto"/>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местна вентилация на отработените газове</w:t>
            </w:r>
          </w:p>
        </w:tc>
        <w:tc>
          <w:tcPr>
            <w:tcW w:w="0" w:type="auto"/>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78 %</w:t>
            </w:r>
          </w:p>
        </w:tc>
        <w:tc>
          <w:tcPr>
            <w:tcW w:w="0" w:type="auto"/>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отделянията, дисперсията и експозицията</w:t>
            </w:r>
          </w:p>
        </w:tc>
      </w:tr>
      <w:tr w:rsidR="008D6E9B" w:rsidRPr="0070774F">
        <w:trPr>
          <w:trHeight w:val="882"/>
          <w:jc w:val="center"/>
        </w:trPr>
        <w:tc>
          <w:tcPr>
            <w:tcW w:w="0" w:type="auto"/>
            <w:gridSpan w:val="5"/>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w:t>
            </w:r>
            <w:r>
              <w:rPr>
                <w:rFonts w:ascii="Arial" w:hAnsi="Arial" w:cs="Arial"/>
                <w:sz w:val="16"/>
                <w:szCs w:val="16"/>
                <w:lang w:val="bg-BG"/>
              </w:rPr>
              <w:t>яна. Не носете заразени дрехи в</w:t>
            </w:r>
            <w:r w:rsidRPr="00703017">
              <w:rPr>
                <w:rFonts w:ascii="Arial" w:hAnsi="Arial" w:cs="Arial"/>
                <w:sz w:val="16"/>
                <w:szCs w:val="16"/>
                <w:lang w:val="bg-BG"/>
              </w:rPr>
              <w:t>къщи. Не издухвайте праха с въздух под налягане.</w:t>
            </w:r>
          </w:p>
        </w:tc>
      </w:tr>
      <w:tr w:rsidR="008D6E9B" w:rsidRPr="0070774F">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за лична защита, хигиена и оценка на здравето</w:t>
            </w:r>
          </w:p>
        </w:tc>
      </w:tr>
      <w:tr w:rsidR="008D6E9B" w:rsidRPr="0070774F">
        <w:trPr>
          <w:trHeight w:val="301"/>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D6E9B" w:rsidRPr="0070774F">
        <w:trPr>
          <w:trHeight w:val="301"/>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 2, 3, 23, 25, 27b</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vMerge w:val="restart"/>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w:t>
            </w:r>
            <w:r w:rsidRPr="0070774F">
              <w:rPr>
                <w:rFonts w:ascii="Arial" w:hAnsi="Arial" w:cs="Arial"/>
                <w:sz w:val="16"/>
                <w:szCs w:val="16"/>
                <w:lang w:val="bg-BG"/>
              </w:rPr>
              <w:t>като CaO е класифицирано</w:t>
            </w:r>
            <w:r w:rsidRPr="00703017">
              <w:rPr>
                <w:rFonts w:ascii="Arial" w:hAnsi="Arial" w:cs="Arial"/>
                <w:sz w:val="16"/>
                <w:szCs w:val="16"/>
                <w:lang w:val="bg-BG"/>
              </w:rPr>
              <w:t xml:space="preserve"> като дразнещо кожата, задължителна е употребата на защитни ръкавици на всички етапи на процеса.</w:t>
            </w:r>
          </w:p>
        </w:tc>
        <w:tc>
          <w:tcPr>
            <w:tcW w:w="0" w:type="auto"/>
            <w:vMerge w:val="restart"/>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D6E9B" w:rsidRPr="00703017">
        <w:trPr>
          <w:trHeight w:val="301"/>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 xml:space="preserve">PROC 4, 5, 7, 8a, 8b, 9, 17, 18, </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FFP2 маска</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APF=10</w:t>
            </w:r>
          </w:p>
        </w:tc>
        <w:tc>
          <w:tcPr>
            <w:tcW w:w="0" w:type="auto"/>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3017">
        <w:trPr>
          <w:trHeight w:val="301"/>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10, 13, 14, 15, 16, 22, 24, 26, 27a</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3017">
        <w:trPr>
          <w:trHeight w:val="301"/>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FFP3 маска</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APF=20</w:t>
            </w:r>
          </w:p>
        </w:tc>
        <w:tc>
          <w:tcPr>
            <w:tcW w:w="0" w:type="auto"/>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454"/>
          <w:jc w:val="center"/>
        </w:trPr>
        <w:tc>
          <w:tcPr>
            <w:tcW w:w="0" w:type="auto"/>
            <w:gridSpan w:val="5"/>
            <w:vAlign w:val="center"/>
          </w:tcPr>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D6E9B" w:rsidRPr="00703017" w:rsidRDefault="008D6E9B"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Общ преглед на APF на различните RPE (съгласно BS EN 529:2005) може да се намери в глосара на MEASE.</w:t>
            </w:r>
          </w:p>
        </w:tc>
      </w:tr>
      <w:tr w:rsidR="008D6E9B" w:rsidRPr="0070774F">
        <w:trPr>
          <w:trHeight w:val="315"/>
          <w:jc w:val="center"/>
        </w:trPr>
        <w:tc>
          <w:tcPr>
            <w:tcW w:w="0" w:type="auto"/>
            <w:gridSpan w:val="5"/>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2.2 Контрол на експозицията за околната среда</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3017">
        <w:trPr>
          <w:trHeight w:val="315"/>
          <w:jc w:val="center"/>
        </w:trPr>
        <w:tc>
          <w:tcPr>
            <w:tcW w:w="0" w:type="auto"/>
            <w:gridSpan w:val="5"/>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Дневното и годишното количество на обект (за точкови източници) не се счита за основен детерминант на експозицията за околната среда.</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Честота и продължителност на употребата</w:t>
            </w:r>
          </w:p>
        </w:tc>
      </w:tr>
      <w:tr w:rsidR="008D6E9B" w:rsidRPr="00703017">
        <w:trPr>
          <w:trHeight w:val="315"/>
          <w:jc w:val="center"/>
        </w:trPr>
        <w:tc>
          <w:tcPr>
            <w:tcW w:w="0" w:type="auto"/>
            <w:gridSpan w:val="5"/>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Прекъсваема (&lt; 12 пъти в годината) или непрекъсваема употреба/отделяне</w:t>
            </w:r>
          </w:p>
        </w:tc>
      </w:tr>
      <w:tr w:rsidR="008D6E9B" w:rsidRPr="00703017">
        <w:trPr>
          <w:trHeight w:val="315"/>
          <w:jc w:val="center"/>
        </w:trPr>
        <w:tc>
          <w:tcPr>
            <w:tcW w:w="0" w:type="auto"/>
            <w:gridSpan w:val="5"/>
            <w:shd w:val="clear" w:color="000000" w:fill="CCCCCC"/>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D6E9B" w:rsidRPr="00703017">
        <w:trPr>
          <w:trHeight w:val="315"/>
          <w:jc w:val="center"/>
        </w:trPr>
        <w:tc>
          <w:tcPr>
            <w:tcW w:w="0" w:type="auto"/>
            <w:gridSpan w:val="5"/>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Скорост на потока на приемащите повърхностни води: 18 000 m³/ден</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rPr>
          <w:trHeight w:val="315"/>
          <w:jc w:val="center"/>
        </w:trPr>
        <w:tc>
          <w:tcPr>
            <w:tcW w:w="0" w:type="auto"/>
            <w:gridSpan w:val="5"/>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Скорост </w:t>
            </w:r>
            <w:r>
              <w:rPr>
                <w:rFonts w:ascii="Arial" w:hAnsi="Arial" w:cs="Arial"/>
                <w:sz w:val="16"/>
                <w:szCs w:val="16"/>
                <w:lang w:val="bg-BG"/>
              </w:rPr>
              <w:t>на изтичащия отпаден поток: 2</w:t>
            </w:r>
            <w:r w:rsidRPr="00703017">
              <w:rPr>
                <w:rFonts w:ascii="Arial" w:hAnsi="Arial" w:cs="Arial"/>
                <w:sz w:val="16"/>
                <w:szCs w:val="16"/>
                <w:lang w:val="bg-BG"/>
              </w:rPr>
              <w:t>000 m³/ден</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D6E9B" w:rsidRPr="0070774F">
        <w:trPr>
          <w:trHeight w:val="765"/>
          <w:jc w:val="center"/>
        </w:trPr>
        <w:tc>
          <w:tcPr>
            <w:tcW w:w="0" w:type="auto"/>
            <w:gridSpan w:val="5"/>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Мерките за управление на риска за околната среда целят избягване на изпускания на </w:t>
            </w:r>
            <w:r>
              <w:rPr>
                <w:rFonts w:ascii="Arial" w:hAnsi="Arial" w:cs="Arial"/>
                <w:sz w:val="16"/>
                <w:szCs w:val="16"/>
                <w:lang w:val="bg-BG"/>
              </w:rPr>
              <w:t>варови</w:t>
            </w:r>
            <w:r w:rsidRPr="00703017">
              <w:rPr>
                <w:rFonts w:ascii="Arial" w:hAnsi="Arial" w:cs="Arial"/>
                <w:sz w:val="16"/>
                <w:szCs w:val="16"/>
                <w:lang w:val="bg-BG"/>
              </w:rPr>
              <w:t xml:space="preserve"> разтвори в обществената канализация или в повърхностните води, когато се очаква тези изпускания да доведат до значителни промени на pH. Изисква се редовен контрол на нивото на pH в процеса на въвеждане на индустриалните в природните води. Най-общо изпусканията трябва да се извършват по такъв начин, че промяната в нивото на pH в приемащите повърхностни води да е минимално (напр. чрез неутрализация). По принцип болшинството водни организми могат да понесат стойности на pH в рамките на 6-9. Това е отразено и в </w:t>
            </w:r>
            <w:r>
              <w:rPr>
                <w:rFonts w:ascii="Arial" w:hAnsi="Arial" w:cs="Arial"/>
                <w:sz w:val="16"/>
                <w:szCs w:val="16"/>
                <w:lang w:val="bg-BG"/>
              </w:rPr>
              <w:t>описанието на</w:t>
            </w:r>
            <w:r w:rsidRPr="00703017">
              <w:rPr>
                <w:rFonts w:ascii="Arial" w:hAnsi="Arial" w:cs="Arial"/>
                <w:sz w:val="16"/>
                <w:szCs w:val="16"/>
                <w:lang w:val="bg-BG"/>
              </w:rPr>
              <w:t xml:space="preserve"> стандартни тестове с водни организми OECD. Обосновката на тази мярка за управление на риска може да се намери в уводната част.</w:t>
            </w:r>
          </w:p>
        </w:tc>
      </w:tr>
      <w:tr w:rsidR="008D6E9B" w:rsidRPr="0070774F">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свързани с отпадъците</w:t>
            </w:r>
          </w:p>
        </w:tc>
      </w:tr>
      <w:tr w:rsidR="008D6E9B" w:rsidRPr="0070774F">
        <w:trPr>
          <w:trHeight w:val="356"/>
          <w:jc w:val="center"/>
        </w:trPr>
        <w:tc>
          <w:tcPr>
            <w:tcW w:w="0" w:type="auto"/>
            <w:gridSpan w:val="5"/>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Твърдит</w:t>
            </w:r>
            <w:r>
              <w:rPr>
                <w:rFonts w:ascii="Arial" w:hAnsi="Arial" w:cs="Arial"/>
                <w:sz w:val="16"/>
                <w:szCs w:val="16"/>
                <w:lang w:val="bg-BG"/>
              </w:rPr>
              <w:t>е промишлени отпадъци от вар</w:t>
            </w:r>
            <w:r w:rsidRPr="00703017">
              <w:rPr>
                <w:rFonts w:ascii="Arial" w:hAnsi="Arial" w:cs="Arial"/>
                <w:sz w:val="16"/>
                <w:szCs w:val="16"/>
                <w:lang w:val="bg-BG"/>
              </w:rPr>
              <w:t xml:space="preserve"> трябва да се рециклират или изхвърлят в промишлените отпадни води и да се неутрализират по-нататък, ако е необходимо.</w:t>
            </w:r>
          </w:p>
        </w:tc>
      </w:tr>
      <w:tr w:rsidR="008D6E9B" w:rsidRPr="0070774F">
        <w:trPr>
          <w:trHeight w:val="315"/>
          <w:jc w:val="center"/>
        </w:trPr>
        <w:tc>
          <w:tcPr>
            <w:tcW w:w="0" w:type="auto"/>
            <w:gridSpan w:val="5"/>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3. Оценка на експозицията и референция на източника</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D6E9B" w:rsidRPr="0070774F">
        <w:trPr>
          <w:trHeight w:val="601"/>
          <w:jc w:val="center"/>
        </w:trPr>
        <w:tc>
          <w:tcPr>
            <w:tcW w:w="0" w:type="auto"/>
            <w:gridSpan w:val="5"/>
            <w:vAlign w:val="center"/>
          </w:tcPr>
          <w:p w:rsidR="008D6E9B" w:rsidRPr="0070774F" w:rsidRDefault="008D6E9B" w:rsidP="00C817D1">
            <w:pPr>
              <w:keepNext/>
              <w:spacing w:line="240" w:lineRule="auto"/>
              <w:rPr>
                <w:rFonts w:ascii="Arial" w:hAnsi="Arial" w:cs="Arial"/>
                <w:sz w:val="16"/>
                <w:szCs w:val="16"/>
                <w:lang w:val="bg-BG" w:eastAsia="de-DE"/>
              </w:rPr>
            </w:pPr>
            <w:r w:rsidRPr="0070774F">
              <w:rPr>
                <w:rFonts w:ascii="Arial" w:hAnsi="Arial" w:cs="Arial"/>
                <w:sz w:val="16"/>
                <w:szCs w:val="16"/>
                <w:lang w:val="bg-BG"/>
              </w:rPr>
              <w:t>Инструментът за оценка на експозицията MEASE се използва за оценка на експозицията при вдишване. Съотношението на характеризиране на риска (RCR) еотношение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за CaO от 1 mg/m³ (като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тъй като вдишаната фракция е подфракция на вдишваната фракция, съгласно EN 481.</w:t>
            </w:r>
          </w:p>
        </w:tc>
      </w:tr>
      <w:tr w:rsidR="008D6E9B" w:rsidRPr="0070774F">
        <w:trPr>
          <w:trHeight w:val="679"/>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Методология, използвана за оценка на експозицията при вдишване</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на експозиция при вдишване (RCR)</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Методология, използвана за оценка на дермалната експозиция</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при дермална експозиция (RCR)</w:t>
            </w:r>
          </w:p>
        </w:tc>
      </w:tr>
      <w:tr w:rsidR="008D6E9B" w:rsidRPr="0070774F">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 2, 3, 4, 5, 7, 8a, 8b, 9, 10, 13, 14, 15, 16, 17, 18, 19, 22, 23, 24, 25, 26, 27a, 27b</w:t>
            </w:r>
          </w:p>
        </w:tc>
        <w:tc>
          <w:tcPr>
            <w:tcW w:w="0" w:type="auto"/>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MEASE</w:t>
            </w:r>
          </w:p>
        </w:tc>
        <w:tc>
          <w:tcPr>
            <w:tcW w:w="0" w:type="auto"/>
            <w:vAlign w:val="center"/>
          </w:tcPr>
          <w:p w:rsidR="008D6E9B" w:rsidRPr="0070774F" w:rsidRDefault="008D6E9B" w:rsidP="006B3DEB">
            <w:pPr>
              <w:spacing w:line="240" w:lineRule="auto"/>
              <w:jc w:val="center"/>
              <w:rPr>
                <w:rFonts w:ascii="Arial" w:hAnsi="Arial" w:cs="Arial"/>
                <w:sz w:val="16"/>
                <w:szCs w:val="16"/>
                <w:lang w:val="bg-BG" w:eastAsia="de-DE"/>
              </w:rPr>
            </w:pPr>
            <w:r w:rsidRPr="0070774F">
              <w:rPr>
                <w:rFonts w:ascii="Arial" w:hAnsi="Arial" w:cs="Arial"/>
                <w:sz w:val="16"/>
                <w:szCs w:val="16"/>
                <w:lang w:val="bg-BG"/>
              </w:rPr>
              <w:t>&lt; 1 mg/m³ (0</w:t>
            </w:r>
            <w:r w:rsidRPr="0070774F">
              <w:rPr>
                <w:rFonts w:ascii="Arial" w:hAnsi="Arial" w:cs="Arial"/>
                <w:sz w:val="16"/>
                <w:szCs w:val="16"/>
                <w:lang w:val="de-DE"/>
              </w:rPr>
              <w:t>,</w:t>
            </w:r>
            <w:r w:rsidRPr="0070774F">
              <w:rPr>
                <w:rFonts w:ascii="Arial" w:hAnsi="Arial" w:cs="Arial"/>
                <w:sz w:val="16"/>
                <w:szCs w:val="16"/>
                <w:lang w:val="bg-BG"/>
              </w:rPr>
              <w:t>01 – 0</w:t>
            </w:r>
            <w:r w:rsidRPr="0070774F">
              <w:rPr>
                <w:rFonts w:ascii="Arial" w:hAnsi="Arial" w:cs="Arial"/>
                <w:sz w:val="16"/>
                <w:szCs w:val="16"/>
                <w:lang w:val="de-DE"/>
              </w:rPr>
              <w:t>,</w:t>
            </w:r>
            <w:r w:rsidRPr="0070774F">
              <w:rPr>
                <w:rFonts w:ascii="Arial" w:hAnsi="Arial" w:cs="Arial"/>
                <w:sz w:val="16"/>
                <w:szCs w:val="16"/>
                <w:lang w:val="bg-BG"/>
              </w:rPr>
              <w:t>96)</w:t>
            </w:r>
          </w:p>
        </w:tc>
        <w:tc>
          <w:tcPr>
            <w:tcW w:w="0" w:type="auto"/>
            <w:gridSpan w:val="2"/>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Тъй като CaO се класифицира като дразнещо кожата, дермалната експозиция трябва да се минимализира до технически оправданото. Не е получен DNEL за дермалните ефекти. Така че дермалната експозиция не се оценява в този сценарий на експозиция.</w:t>
            </w:r>
          </w:p>
        </w:tc>
      </w:tr>
      <w:tr w:rsidR="008D6E9B" w:rsidRPr="00703017">
        <w:trPr>
          <w:trHeight w:val="315"/>
          <w:jc w:val="center"/>
        </w:trPr>
        <w:tc>
          <w:tcPr>
            <w:tcW w:w="0" w:type="auto"/>
            <w:gridSpan w:val="5"/>
            <w:shd w:val="clear" w:color="000000" w:fill="C0C0C0"/>
            <w:vAlign w:val="center"/>
          </w:tcPr>
          <w:p w:rsidR="008D6E9B" w:rsidRPr="0070774F" w:rsidRDefault="008D6E9B" w:rsidP="009D4C75">
            <w:pPr>
              <w:keepNext/>
              <w:spacing w:line="240" w:lineRule="auto"/>
              <w:jc w:val="both"/>
              <w:rPr>
                <w:rFonts w:ascii="Arial" w:hAnsi="Arial" w:cs="Arial"/>
                <w:b/>
                <w:bCs/>
                <w:color w:val="0000FF"/>
                <w:sz w:val="16"/>
                <w:szCs w:val="16"/>
                <w:lang w:val="bg-BG" w:eastAsia="de-DE"/>
              </w:rPr>
            </w:pPr>
            <w:r w:rsidRPr="0070774F">
              <w:rPr>
                <w:rFonts w:ascii="Arial" w:hAnsi="Arial" w:cs="Arial"/>
                <w:b/>
                <w:bCs/>
                <w:color w:val="0000FF"/>
                <w:sz w:val="16"/>
                <w:szCs w:val="16"/>
                <w:lang w:val="bg-BG"/>
              </w:rPr>
              <w:t>Емисии в околната среда</w:t>
            </w:r>
          </w:p>
        </w:tc>
      </w:tr>
      <w:tr w:rsidR="008D6E9B" w:rsidRPr="0070774F">
        <w:trPr>
          <w:cantSplit/>
          <w:trHeight w:val="301"/>
          <w:jc w:val="center"/>
        </w:trPr>
        <w:tc>
          <w:tcPr>
            <w:tcW w:w="0" w:type="auto"/>
            <w:gridSpan w:val="5"/>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Оценката на експозицията за околната среда се отнася само до водната среда, когато тя е засегната, вкл. ПСОВ/ППСОВ, тъй като емисиите на CaO на различните стадий от жизнения цикъл (производство и употреба) засягат основно водата (отпадната). Оценката на ефекта върху и риска за водата се занимава само с въздействието върху организмите/екосистемите поради възможни изпускания на OH и промяна на pH, като токсичността на Ca2+ се очаква да е незначителна в сравнение с (потенциалния) ефект на pH. Разглежда се само на местно ниво, в т.ч. общинските ПСОВ и ППСОВ, където ги има, както за производство, така и за промишлено ползване, тъй като се очакват ефекти единствено на местно ниво. Високата разтворимост във вода и много ниското парно налягане показват, че CaO може да се открие основно във водата. Значителни емисии и експозиция на въздуха не се очакват, поради ниското парно налягане на CaO. Значителни емисии или експозиция на сухоземната среда също не се очакват за този сценарий на експозиция. Оценката на експозицията за водната среда следователно се занимава само с възможните промени на pH в отходните води на ПСОВ и повърхностните води, свързани с изпускането на OH на местно ниво. Към оценката на експозицията се подхожда с оценка на въздействието на получилото се pH: pH на повърхностните води не трябва да надвишава 9.</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4"/>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Производството на CaO може евентуално да доведе до емисии във водата и увеличаване на местно ниво на концентрацията на CaO, което се отразява на pH във водната среда. Когато pH не се неутрализира, изпускането на отпадни води от производството на CaO може да повлияе върху pH на приемащата река. pH на заустваната вода обикновено се измерва много често и може да бъде лесно неутрализирано, толкова често, колкото се изисква от националното законодателство.</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lastRenderedPageBreak/>
              <w:t>Концентрация на експозицията в отпадните води на ППСОВ</w:t>
            </w:r>
          </w:p>
        </w:tc>
        <w:tc>
          <w:tcPr>
            <w:tcW w:w="0" w:type="auto"/>
            <w:gridSpan w:val="4"/>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Отпадните води от производството на CaO представляват неорганичен поток и затова не се третират биологично. Следователно, отпадният поток от обекти за производство на CaO обикновено не се третират в биологични ППСОВ, но могат да се използват за контрол на pH на киселинните отпадни водни потоци, които се обработват в биологичните ППСОВ.</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водно-пелагична камера</w:t>
            </w:r>
          </w:p>
        </w:tc>
        <w:tc>
          <w:tcPr>
            <w:tcW w:w="0" w:type="auto"/>
            <w:gridSpan w:val="4"/>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Когато CaO се емитира в повърхностните води, сорбцията в частици и седименти е незначителна. Когато варта се отделя в повърхностните води, pH може да нарасне в зависимост от буферния капацитет на водата. Колкото е по-висок буферният капацитет на водата, толкова по-нисък е ефектът върху pH. Най-общо буферният капацитет, който не позволява промяна в киселинността или алкалността на водите, се регулира от равновесието между въглеродния двуокис (CO2), бикарбонатния йон (HCO3-) и карбонатния йон (CO32-).</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4"/>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Седиментната част не е включена в този ES, защото не се счита за релевантна по отношение на CaO: когато CaO се емитира във водна среда, сорбцията в седиментарни частици е незначителна.</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gridSpan w:val="4"/>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Сухоземната част не е включена в този сценарий на експозиция, защото се счита за ирелевантна.</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4"/>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Атмосферната част не е включена в този СES, защото не се счита за релевантна по отношение на CaO: когато се емитират във въздуха като воден аерозол, CaO се неутрализират, в резултат на реакцията им с CO2 (или други киселини), във HCO3- и Ca2+. Впоследствие, солите (като калциевия бикарбонат) се отмиват от въздуха и по този начин атмосферните емисии на неутрализираното CaO в голямата си част попадат в почвата и водите.</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4"/>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Биоакумулирането не е релевантно за CaO: следователно не се налага оценка на риска за вторично отравяне.</w:t>
            </w:r>
          </w:p>
        </w:tc>
      </w:tr>
      <w:tr w:rsidR="008D6E9B" w:rsidRPr="0070774F">
        <w:trPr>
          <w:trHeight w:val="315"/>
          <w:jc w:val="center"/>
        </w:trPr>
        <w:tc>
          <w:tcPr>
            <w:tcW w:w="0" w:type="auto"/>
            <w:gridSpan w:val="5"/>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 xml:space="preserve">4. Ръководство за </w:t>
            </w:r>
            <w:r>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D6E9B" w:rsidRPr="0070774F">
        <w:trPr>
          <w:trHeight w:val="315"/>
          <w:jc w:val="center"/>
        </w:trPr>
        <w:tc>
          <w:tcPr>
            <w:tcW w:w="0" w:type="auto"/>
            <w:gridSpan w:val="5"/>
            <w:vAlign w:val="center"/>
          </w:tcPr>
          <w:p w:rsidR="008D6E9B" w:rsidRPr="00703017" w:rsidRDefault="008D6E9B"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дермалната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скалиращ инструмент, като MEASE (</w:t>
            </w:r>
            <w:hyperlink r:id="rId21"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глосара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вещества съ</w:t>
            </w:r>
            <w:r>
              <w:rPr>
                <w:rFonts w:ascii="Arial" w:hAnsi="Arial" w:cs="Arial"/>
                <w:sz w:val="16"/>
                <w:szCs w:val="16"/>
                <w:lang w:val="bg-BG"/>
              </w:rPr>
              <w:t>с запрашеност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D6E9B" w:rsidRPr="00703017" w:rsidRDefault="008D6E9B" w:rsidP="009D4C75">
            <w:pPr>
              <w:spacing w:before="60" w:after="60" w:line="240" w:lineRule="auto"/>
              <w:rPr>
                <w:rFonts w:ascii="Arial" w:hAnsi="Arial" w:cs="Arial"/>
                <w:sz w:val="20"/>
                <w:szCs w:val="20"/>
                <w:lang w:val="bg-BG" w:eastAsia="de-DE"/>
              </w:rPr>
            </w:pPr>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r w:rsidRPr="00703017">
              <w:rPr>
                <w:rFonts w:ascii="Arial" w:hAnsi="Arial" w:cs="Arial"/>
                <w:sz w:val="20"/>
                <w:szCs w:val="20"/>
                <w:lang w:val="bg-BG"/>
              </w:rPr>
              <w:t>:</w:t>
            </w:r>
            <w:r w:rsidRPr="00703017">
              <w:rPr>
                <w:rFonts w:ascii="Arial" w:hAnsi="Arial" w:cs="Arial"/>
                <w:sz w:val="20"/>
                <w:szCs w:val="20"/>
                <w:lang w:val="bg-BG"/>
              </w:rPr>
              <w:tab/>
              <w:t>1 mg/m³ (като вдишван прах)</w:t>
            </w:r>
          </w:p>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mg/m³.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w:t>
            </w:r>
          </w:p>
        </w:tc>
      </w:tr>
      <w:tr w:rsidR="008D6E9B" w:rsidRPr="00703017">
        <w:trPr>
          <w:trHeight w:val="1310"/>
          <w:jc w:val="center"/>
        </w:trPr>
        <w:tc>
          <w:tcPr>
            <w:tcW w:w="0" w:type="auto"/>
            <w:gridSpan w:val="5"/>
            <w:vAlign w:val="center"/>
          </w:tcPr>
          <w:p w:rsidR="008D6E9B" w:rsidRPr="00703017" w:rsidRDefault="008D6E9B"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sz w:val="16"/>
                <w:szCs w:val="16"/>
                <w:lang w:val="bg-BG"/>
              </w:rPr>
              <w:t>Ако даден обект не отговаря на условията, посочени в сценария за експозиция при безопасна употреба, препоръчва се да се приложи подход по редове за извършване на по-прецизна оценка. За извършване на такава оценка се препоръчва следния поетапен подход.</w:t>
            </w:r>
          </w:p>
          <w:p w:rsidR="008D6E9B" w:rsidRPr="00703017" w:rsidRDefault="008D6E9B"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1</w:t>
            </w:r>
            <w:r w:rsidRPr="00703017">
              <w:rPr>
                <w:rFonts w:ascii="Arial" w:hAnsi="Arial" w:cs="Arial"/>
                <w:sz w:val="16"/>
                <w:szCs w:val="16"/>
                <w:lang w:val="bg-BG"/>
              </w:rPr>
              <w:t xml:space="preserve">: получете информация за pH на отпадните води и за приноса </w:t>
            </w:r>
            <w:r w:rsidRPr="0070774F">
              <w:rPr>
                <w:rFonts w:ascii="Arial" w:hAnsi="Arial" w:cs="Arial"/>
                <w:sz w:val="16"/>
                <w:szCs w:val="16"/>
                <w:lang w:val="bg-BG"/>
              </w:rPr>
              <w:t>на CaO за</w:t>
            </w:r>
            <w:r w:rsidRPr="00703017">
              <w:rPr>
                <w:rFonts w:ascii="Arial" w:hAnsi="Arial" w:cs="Arial"/>
                <w:sz w:val="16"/>
                <w:szCs w:val="16"/>
                <w:lang w:val="bg-BG"/>
              </w:rPr>
              <w:t xml:space="preserve"> този резултат. Ако pH е над 9 и основно се дължи на варта, наложителни са следващите действия за демонстриране на безопасна употреба.</w:t>
            </w:r>
          </w:p>
          <w:p w:rsidR="008D6E9B" w:rsidRPr="00A61D7B" w:rsidRDefault="008D6E9B" w:rsidP="009D4C75">
            <w:pPr>
              <w:tabs>
                <w:tab w:val="left" w:pos="1701"/>
              </w:tabs>
              <w:spacing w:before="60" w:after="60" w:line="240" w:lineRule="auto"/>
              <w:rPr>
                <w:rFonts w:ascii="Arial" w:hAnsi="Arial" w:cs="Arial"/>
                <w:sz w:val="16"/>
                <w:szCs w:val="16"/>
                <w:lang w:val="bg-BG"/>
              </w:rPr>
            </w:pPr>
            <w:r w:rsidRPr="00703017">
              <w:rPr>
                <w:rFonts w:ascii="Arial" w:hAnsi="Arial" w:cs="Arial"/>
                <w:b/>
                <w:bCs/>
                <w:sz w:val="16"/>
                <w:szCs w:val="16"/>
                <w:lang w:val="bg-BG"/>
              </w:rPr>
              <w:t>Ред 2а</w:t>
            </w:r>
            <w:r w:rsidRPr="00703017">
              <w:rPr>
                <w:rFonts w:ascii="Arial" w:hAnsi="Arial" w:cs="Arial"/>
                <w:sz w:val="16"/>
                <w:szCs w:val="16"/>
                <w:lang w:val="bg-BG"/>
              </w:rPr>
              <w:t>: получете информация за pH на приемащите води след точката на заустване. pH на приемащите води не трябва да надвишава 9. Ако няма налични измервания, pH в реката може да се изчисли по следния начин:</w:t>
            </w:r>
          </w:p>
          <w:p w:rsidR="008D6E9B" w:rsidRPr="00A61D7B" w:rsidRDefault="008D6E9B" w:rsidP="009D4C75">
            <w:pPr>
              <w:tabs>
                <w:tab w:val="left" w:pos="1701"/>
              </w:tabs>
              <w:spacing w:before="60" w:after="60" w:line="240" w:lineRule="auto"/>
              <w:rPr>
                <w:rFonts w:ascii="Arial" w:hAnsi="Arial" w:cs="Arial"/>
                <w:sz w:val="16"/>
                <w:szCs w:val="16"/>
                <w:lang w:val="bg-BG" w:eastAsia="de-DE"/>
              </w:rPr>
            </w:pPr>
          </w:p>
          <w:p w:rsidR="008D6E9B" w:rsidRPr="00703017" w:rsidRDefault="001D5CEE" w:rsidP="009D4C75">
            <w:pPr>
              <w:tabs>
                <w:tab w:val="left" w:pos="1701"/>
              </w:tabs>
              <w:spacing w:before="60" w:after="60" w:line="240" w:lineRule="auto"/>
              <w:rPr>
                <w:rFonts w:ascii="Arial" w:hAnsi="Arial" w:cs="Arial"/>
                <w:position w:val="-30"/>
                <w:vertAlign w:val="subscript"/>
                <w:lang w:val="bg-BG"/>
              </w:rPr>
            </w:pPr>
            <w:r>
              <w:rPr>
                <w:rFonts w:ascii="Arial" w:hAnsi="Arial" w:cs="Arial"/>
                <w:noProof/>
                <w:sz w:val="16"/>
                <w:szCs w:val="16"/>
                <w:lang w:val="bg-BG" w:eastAsia="bg-BG"/>
              </w:rPr>
              <w:lastRenderedPageBreak/>
              <mc:AlternateContent>
                <mc:Choice Requires="wpc">
                  <w:drawing>
                    <wp:inline distT="0" distB="0" distL="0" distR="0">
                      <wp:extent cx="4159250" cy="814070"/>
                      <wp:effectExtent l="4445" t="1905" r="0" b="3175"/>
                      <wp:docPr id="82" name="Платно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6" name="Group 84"/>
                              <wpg:cNvGrpSpPr>
                                <a:grpSpLocks/>
                              </wpg:cNvGrpSpPr>
                              <wpg:grpSpPr bwMode="auto">
                                <a:xfrm>
                                  <a:off x="1188085" y="121285"/>
                                  <a:ext cx="2735580" cy="490220"/>
                                  <a:chOff x="60" y="-25"/>
                                  <a:chExt cx="4308" cy="772"/>
                                </a:xfrm>
                              </wpg:grpSpPr>
                              <wps:wsp>
                                <wps:cNvPr id="47" name="Rectangle 85"/>
                                <wps:cNvSpPr>
                                  <a:spLocks noChangeArrowheads="1"/>
                                </wps:cNvSpPr>
                                <wps:spPr bwMode="auto">
                                  <a:xfrm>
                                    <a:off x="60" y="208"/>
                                    <a:ext cx="81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i/>
                                          <w:iCs/>
                                          <w:color w:val="000000"/>
                                          <w:sz w:val="24"/>
                                          <w:szCs w:val="24"/>
                                          <w:lang w:val="en-US"/>
                                        </w:rPr>
                                        <w:t>pHriver</w:t>
                                      </w:r>
                                    </w:p>
                                  </w:txbxContent>
                                </wps:txbx>
                                <wps:bodyPr rot="0" vert="horz" wrap="none" lIns="0" tIns="0" rIns="0" bIns="0" anchor="t" anchorCtr="0" upright="1">
                                  <a:spAutoFit/>
                                </wps:bodyPr>
                              </wps:wsp>
                              <wps:wsp>
                                <wps:cNvPr id="48" name="Rectangle 86"/>
                                <wps:cNvSpPr>
                                  <a:spLocks noChangeArrowheads="1"/>
                                </wps:cNvSpPr>
                                <wps:spPr bwMode="auto">
                                  <a:xfrm>
                                    <a:off x="876" y="180"/>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49" name="Rectangle 87"/>
                                <wps:cNvSpPr>
                                  <a:spLocks noChangeArrowheads="1"/>
                                </wps:cNvSpPr>
                                <wps:spPr bwMode="auto">
                                  <a:xfrm>
                                    <a:off x="1067" y="208"/>
                                    <a:ext cx="43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i/>
                                          <w:iCs/>
                                          <w:color w:val="000000"/>
                                          <w:sz w:val="24"/>
                                          <w:szCs w:val="24"/>
                                          <w:lang w:val="en-US"/>
                                        </w:rPr>
                                        <w:t>Log</w:t>
                                      </w:r>
                                    </w:p>
                                  </w:txbxContent>
                                </wps:txbx>
                                <wps:bodyPr rot="0" vert="horz" wrap="none" lIns="0" tIns="0" rIns="0" bIns="0" anchor="t" anchorCtr="0" upright="1">
                                  <a:spAutoFit/>
                                </wps:bodyPr>
                              </wps:wsp>
                              <wps:wsp>
                                <wps:cNvPr id="50" name="Rectangle 88"/>
                                <wps:cNvSpPr>
                                  <a:spLocks noChangeArrowheads="1"/>
                                </wps:cNvSpPr>
                                <wps:spPr bwMode="auto">
                                  <a:xfrm>
                                    <a:off x="1527" y="56"/>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D6160C"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wps:txbx>
                                <wps:bodyPr rot="0" vert="horz" wrap="none" lIns="0" tIns="0" rIns="0" bIns="0" anchor="t" anchorCtr="0" upright="1">
                                  <a:noAutofit/>
                                </wps:bodyPr>
                              </wps:wsp>
                              <wps:wsp>
                                <wps:cNvPr id="51" name="Rectangle 89"/>
                                <wps:cNvSpPr>
                                  <a:spLocks noChangeArrowheads="1"/>
                                </wps:cNvSpPr>
                                <wps:spPr bwMode="auto">
                                  <a:xfrm>
                                    <a:off x="2104"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color w:val="000000"/>
                                          <w:sz w:val="24"/>
                                          <w:szCs w:val="24"/>
                                          <w:lang w:val="en-US"/>
                                        </w:rPr>
                                        <w:t>*</w:t>
                                      </w:r>
                                    </w:p>
                                  </w:txbxContent>
                                </wps:txbx>
                                <wps:bodyPr rot="0" vert="horz" wrap="none" lIns="0" tIns="0" rIns="0" bIns="0" anchor="t" anchorCtr="0" upright="1">
                                  <a:spAutoFit/>
                                </wps:bodyPr>
                              </wps:wsp>
                              <wps:wsp>
                                <wps:cNvPr id="52" name="Rectangle 90"/>
                                <wps:cNvSpPr>
                                  <a:spLocks noChangeArrowheads="1"/>
                                </wps:cNvSpPr>
                                <wps:spPr bwMode="auto">
                                  <a:xfrm>
                                    <a:off x="2234"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color w:val="000000"/>
                                          <w:sz w:val="24"/>
                                          <w:szCs w:val="24"/>
                                          <w:lang w:val="en-US"/>
                                        </w:rPr>
                                        <w:t>10</w:t>
                                      </w:r>
                                    </w:p>
                                  </w:txbxContent>
                                </wps:txbx>
                                <wps:bodyPr rot="0" vert="horz" wrap="none" lIns="0" tIns="0" rIns="0" bIns="0" anchor="t" anchorCtr="0" upright="1">
                                  <a:spAutoFit/>
                                </wps:bodyPr>
                              </wps:wsp>
                              <wps:wsp>
                                <wps:cNvPr id="53" name="Rectangle 91"/>
                                <wps:cNvSpPr>
                                  <a:spLocks noChangeArrowheads="1"/>
                                </wps:cNvSpPr>
                                <wps:spPr bwMode="auto">
                                  <a:xfrm>
                                    <a:off x="2494" y="38"/>
                                    <a:ext cx="405"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
                                  </w:txbxContent>
                                </wps:txbx>
                                <wps:bodyPr rot="0" vert="horz" wrap="none" lIns="0" tIns="0" rIns="0" bIns="0" anchor="t" anchorCtr="0" upright="1">
                                  <a:spAutoFit/>
                                </wps:bodyPr>
                              </wps:wsp>
                              <wps:wsp>
                                <wps:cNvPr id="54" name="Rectangle 92"/>
                                <wps:cNvSpPr>
                                  <a:spLocks noChangeArrowheads="1"/>
                                </wps:cNvSpPr>
                                <wps:spPr bwMode="auto">
                                  <a:xfrm>
                                    <a:off x="2895" y="28"/>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55" name="Rectangle 93"/>
                                <wps:cNvSpPr>
                                  <a:spLocks noChangeArrowheads="1"/>
                                </wps:cNvSpPr>
                                <wps:spPr bwMode="auto">
                                  <a:xfrm>
                                    <a:off x="3102" y="49"/>
                                    <a:ext cx="47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E03A8E"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wps:txbx>
                                <wps:bodyPr rot="0" vert="horz" wrap="none" lIns="0" tIns="0" rIns="0" bIns="0" anchor="t" anchorCtr="0" upright="1">
                                  <a:spAutoFit/>
                                </wps:bodyPr>
                              </wps:wsp>
                              <wps:wsp>
                                <wps:cNvPr id="56" name="Rectangle 94"/>
                                <wps:cNvSpPr>
                                  <a:spLocks noChangeArrowheads="1"/>
                                </wps:cNvSpPr>
                                <wps:spPr bwMode="auto">
                                  <a:xfrm>
                                    <a:off x="3536"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color w:val="000000"/>
                                          <w:sz w:val="24"/>
                                          <w:szCs w:val="24"/>
                                          <w:lang w:val="en-US"/>
                                        </w:rPr>
                                        <w:t>*</w:t>
                                      </w:r>
                                    </w:p>
                                  </w:txbxContent>
                                </wps:txbx>
                                <wps:bodyPr rot="0" vert="horz" wrap="none" lIns="0" tIns="0" rIns="0" bIns="0" anchor="t" anchorCtr="0" upright="1">
                                  <a:spAutoFit/>
                                </wps:bodyPr>
                              </wps:wsp>
                              <wps:wsp>
                                <wps:cNvPr id="57" name="Rectangle 95"/>
                                <wps:cNvSpPr>
                                  <a:spLocks noChangeArrowheads="1"/>
                                </wps:cNvSpPr>
                                <wps:spPr bwMode="auto">
                                  <a:xfrm>
                                    <a:off x="3656"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color w:val="000000"/>
                                          <w:sz w:val="24"/>
                                          <w:szCs w:val="24"/>
                                          <w:lang w:val="en-US"/>
                                        </w:rPr>
                                        <w:t>10</w:t>
                                      </w:r>
                                    </w:p>
                                  </w:txbxContent>
                                </wps:txbx>
                                <wps:bodyPr rot="0" vert="horz" wrap="none" lIns="0" tIns="0" rIns="0" bIns="0" anchor="t" anchorCtr="0" upright="1">
                                  <a:spAutoFit/>
                                </wps:bodyPr>
                              </wps:wsp>
                              <wps:wsp>
                                <wps:cNvPr id="58" name="Rectangle 96"/>
                                <wps:cNvSpPr>
                                  <a:spLocks noChangeArrowheads="1"/>
                                </wps:cNvSpPr>
                                <wps:spPr bwMode="auto">
                                  <a:xfrm>
                                    <a:off x="3916" y="38"/>
                                    <a:ext cx="34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E03A8E" w:rsidRDefault="00AB5450" w:rsidP="00B338DD">
                                      <w:pPr>
                                        <w:rPr>
                                          <w:rFonts w:ascii="Times" w:hAnsi="Times" w:cs="Times"/>
                                          <w:i/>
                                          <w:iCs/>
                                          <w:color w:val="000000"/>
                                          <w:sz w:val="14"/>
                                          <w:szCs w:val="14"/>
                                          <w:lang w:val="en-US"/>
                                        </w:rPr>
                                      </w:pPr>
                                      <w:r>
                                        <w:rPr>
                                          <w:rFonts w:ascii="Times" w:hAnsi="Times" w:cs="Times"/>
                                          <w:i/>
                                          <w:iCs/>
                                          <w:color w:val="000000"/>
                                          <w:sz w:val="14"/>
                                          <w:szCs w:val="14"/>
                                          <w:lang w:val="en-US"/>
                                        </w:rPr>
                                        <w:t>pH</w:t>
                                      </w:r>
                                      <w:r w:rsidRPr="00E03A8E">
                                        <w:rPr>
                                          <w:rFonts w:ascii="Times" w:hAnsi="Times" w:cs="Times"/>
                                          <w:i/>
                                          <w:iCs/>
                                          <w:color w:val="000000"/>
                                          <w:sz w:val="14"/>
                                          <w:szCs w:val="14"/>
                                          <w:lang w:val="en-US"/>
                                        </w:rPr>
                                        <w:t>_р</w:t>
                                      </w:r>
                                    </w:p>
                                  </w:txbxContent>
                                </wps:txbx>
                                <wps:bodyPr rot="0" vert="horz" wrap="none" lIns="0" tIns="0" rIns="0" bIns="0" anchor="t" anchorCtr="0" upright="1">
                                  <a:spAutoFit/>
                                </wps:bodyPr>
                              </wps:wsp>
                              <wps:wsp>
                                <wps:cNvPr id="59" name="Rectangle 97"/>
                                <wps:cNvSpPr>
                                  <a:spLocks noChangeArrowheads="1"/>
                                </wps:cNvSpPr>
                                <wps:spPr bwMode="auto">
                                  <a:xfrm>
                                    <a:off x="2719" y="367"/>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60" name="Line 98"/>
                                <wps:cNvCnPr>
                                  <a:cxnSpLocks noChangeShapeType="1"/>
                                </wps:cNvCnPr>
                                <wps:spPr bwMode="auto">
                                  <a:xfrm>
                                    <a:off x="1517" y="365"/>
                                    <a:ext cx="2711" cy="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99"/>
                                <wps:cNvSpPr>
                                  <a:spLocks noChangeArrowheads="1"/>
                                </wps:cNvSpPr>
                                <wps:spPr bwMode="auto">
                                  <a:xfrm>
                                    <a:off x="1427"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62" name="Rectangle 100"/>
                                <wps:cNvSpPr>
                                  <a:spLocks noChangeArrowheads="1"/>
                                </wps:cNvSpPr>
                                <wps:spPr bwMode="auto">
                                  <a:xfrm>
                                    <a:off x="1427"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63" name="Rectangle 101"/>
                                <wps:cNvSpPr>
                                  <a:spLocks noChangeArrowheads="1"/>
                                </wps:cNvSpPr>
                                <wps:spPr bwMode="auto">
                                  <a:xfrm>
                                    <a:off x="1427"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96" name="Rectangle 102"/>
                                <wps:cNvSpPr>
                                  <a:spLocks noChangeArrowheads="1"/>
                                </wps:cNvSpPr>
                                <wps:spPr bwMode="auto">
                                  <a:xfrm>
                                    <a:off x="4215"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97" name="Rectangle 103"/>
                                <wps:cNvSpPr>
                                  <a:spLocks noChangeArrowheads="1"/>
                                </wps:cNvSpPr>
                                <wps:spPr bwMode="auto">
                                  <a:xfrm>
                                    <a:off x="4215"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98" name="Rectangle 104"/>
                                <wps:cNvSpPr>
                                  <a:spLocks noChangeArrowheads="1"/>
                                </wps:cNvSpPr>
                                <wps:spPr bwMode="auto">
                                  <a:xfrm>
                                    <a:off x="4215"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99" name="Rectangle 105"/>
                                <wps:cNvSpPr>
                                  <a:spLocks noChangeArrowheads="1"/>
                                </wps:cNvSpPr>
                                <wps:spPr bwMode="auto">
                                  <a:xfrm>
                                    <a:off x="2941" y="380"/>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D6160C"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wps:txbx>
                                <wps:bodyPr rot="0" vert="horz" wrap="none" lIns="0" tIns="0" rIns="0" bIns="0" anchor="t" anchorCtr="0" upright="1">
                                  <a:noAutofit/>
                                </wps:bodyPr>
                              </wps:wsp>
                              <wps:wsp>
                                <wps:cNvPr id="100" name="Rectangle 106"/>
                                <wps:cNvSpPr>
                                  <a:spLocks noChangeArrowheads="1"/>
                                </wps:cNvSpPr>
                                <wps:spPr bwMode="auto">
                                  <a:xfrm>
                                    <a:off x="2212" y="379"/>
                                    <a:ext cx="47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E03A8E"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wps:txbx>
                                <wps:bodyPr rot="0" vert="horz" wrap="none" lIns="0" tIns="0" rIns="0" bIns="0" anchor="t" anchorCtr="0" upright="1">
                                  <a:noAutofit/>
                                </wps:bodyPr>
                              </wps:wsp>
                            </wpg:wgp>
                          </wpc:wpc>
                        </a:graphicData>
                      </a:graphic>
                    </wp:inline>
                  </w:drawing>
                </mc:Choice>
                <mc:Fallback>
                  <w:pict>
                    <v:group id="Платно 82" o:spid="_x0000_s1101" editas="canvas" style="width:327.5pt;height:64.1pt;mso-position-horizontal-relative:char;mso-position-vertical-relative:line" coordsize="41592,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">
                      <v:shape id="_x0000_s1102" type="#_x0000_t75" style="position:absolute;width:41592;height:8140;visibility:visible;mso-wrap-style:square">
                        <v:fill o:detectmouseclick="t"/>
                        <v:path o:connecttype="none"/>
                      </v:shape>
                      <v:group id="Group 84" o:spid="_x0000_s1103" style="position:absolute;left:11880;top:1212;width:27356;height:4903" coordorigin="60,-25" coordsize="430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85" o:spid="_x0000_s1104" style="position:absolute;left:60;top:208;width:816;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AB5450" w:rsidRDefault="00AB5450" w:rsidP="00B338DD">
                                <w:r>
                                  <w:rPr>
                                    <w:rFonts w:ascii="Times" w:hAnsi="Times" w:cs="Times"/>
                                    <w:i/>
                                    <w:iCs/>
                                    <w:color w:val="000000"/>
                                    <w:sz w:val="24"/>
                                    <w:szCs w:val="24"/>
                                    <w:lang w:val="en-US"/>
                                  </w:rPr>
                                  <w:t>pHriver</w:t>
                                </w:r>
                              </w:p>
                            </w:txbxContent>
                          </v:textbox>
                        </v:rect>
                        <v:rect id="Rectangle 86" o:spid="_x0000_s1105" style="position:absolute;left:876;top:180;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AB5450" w:rsidRDefault="00AB5450" w:rsidP="00B338DD">
                                <w:r>
                                  <w:rPr>
                                    <w:rFonts w:ascii="Symbol" w:hAnsi="Symbol" w:cs="Symbol"/>
                                    <w:color w:val="000000"/>
                                    <w:sz w:val="24"/>
                                    <w:szCs w:val="24"/>
                                    <w:lang w:val="en-US"/>
                                  </w:rPr>
                                  <w:t></w:t>
                                </w:r>
                              </w:p>
                            </w:txbxContent>
                          </v:textbox>
                        </v:rect>
                        <v:rect id="Rectangle 87" o:spid="_x0000_s1106" style="position:absolute;left:1067;top:208;width:43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AB5450" w:rsidRDefault="00AB5450" w:rsidP="00B338DD">
                                <w:r>
                                  <w:rPr>
                                    <w:rFonts w:ascii="Times" w:hAnsi="Times" w:cs="Times"/>
                                    <w:i/>
                                    <w:iCs/>
                                    <w:color w:val="000000"/>
                                    <w:sz w:val="24"/>
                                    <w:szCs w:val="24"/>
                                    <w:lang w:val="en-US"/>
                                  </w:rPr>
                                  <w:t>Log</w:t>
                                </w:r>
                              </w:p>
                            </w:txbxContent>
                          </v:textbox>
                        </v:rect>
                        <v:rect id="Rectangle 88" o:spid="_x0000_s1107" style="position:absolute;left:1527;top:56;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OosEA&#10;AADbAAAADwAAAGRycy9kb3ducmV2LnhtbERP3WrCMBS+H/gO4QjezbTDyexMixPEIXih2wMcmrOm&#10;szmpSdT69uZisMuP739ZDbYTV/Khdawgn2YgiGunW24UfH9tnt9AhIissXNMCu4UoCpHT0sstLvx&#10;ga7H2IgUwqFABSbGvpAy1IYshqnriRP347zFmKBvpPZ4S+G2ky9ZNpcWW04NBntaG6pPx4tVQB/b&#10;w+J3Fcxe+jzk+918MduelZqMh9U7iEhD/Bf/uT+1gte0Pn1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9TqLBAAAA2wAAAA8AAAAAAAAAAAAAAAAAmAIAAGRycy9kb3du&#10;cmV2LnhtbFBLBQYAAAAABAAEAPUAAACGAwAAAAA=&#10;" filled="f" stroked="f">
                          <v:textbox inset="0,0,0,0">
                            <w:txbxContent>
                              <w:p w:rsidR="00AB5450" w:rsidRPr="00D6160C"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89" o:spid="_x0000_s1108" style="position:absolute;left:2104;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AB5450" w:rsidRDefault="00AB5450" w:rsidP="00B338DD">
                                <w:r>
                                  <w:rPr>
                                    <w:rFonts w:ascii="Times" w:hAnsi="Times" w:cs="Times"/>
                                    <w:color w:val="000000"/>
                                    <w:sz w:val="24"/>
                                    <w:szCs w:val="24"/>
                                    <w:lang w:val="en-US"/>
                                  </w:rPr>
                                  <w:t>*</w:t>
                                </w:r>
                              </w:p>
                            </w:txbxContent>
                          </v:textbox>
                        </v:rect>
                        <v:rect id="Rectangle 90" o:spid="_x0000_s1109" style="position:absolute;left:2234;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AB5450" w:rsidRDefault="00AB5450" w:rsidP="00B338DD">
                                <w:r>
                                  <w:rPr>
                                    <w:rFonts w:ascii="Times" w:hAnsi="Times" w:cs="Times"/>
                                    <w:color w:val="000000"/>
                                    <w:sz w:val="24"/>
                                    <w:szCs w:val="24"/>
                                    <w:lang w:val="en-US"/>
                                  </w:rPr>
                                  <w:t>10</w:t>
                                </w:r>
                              </w:p>
                            </w:txbxContent>
                          </v:textbox>
                        </v:rect>
                        <v:rect id="Rectangle 91" o:spid="_x0000_s1110" style="position:absolute;left:2494;top:38;width:405;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AB5450" w:rsidRDefault="00AB5450" w:rsidP="00B338DD">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
                            </w:txbxContent>
                          </v:textbox>
                        </v:rect>
                        <v:rect id="Rectangle 92" o:spid="_x0000_s1111" style="position:absolute;left:2895;top:28;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AB5450" w:rsidRDefault="00AB5450" w:rsidP="00B338DD">
                                <w:r>
                                  <w:rPr>
                                    <w:rFonts w:ascii="Symbol" w:hAnsi="Symbol" w:cs="Symbol"/>
                                    <w:color w:val="000000"/>
                                    <w:sz w:val="24"/>
                                    <w:szCs w:val="24"/>
                                    <w:lang w:val="en-US"/>
                                  </w:rPr>
                                  <w:t></w:t>
                                </w:r>
                              </w:p>
                            </w:txbxContent>
                          </v:textbox>
                        </v:rect>
                        <v:rect id="Rectangle 93" o:spid="_x0000_s1112" style="position:absolute;left:3102;top:49;width:47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AB5450" w:rsidRPr="00E03A8E"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rect id="Rectangle 94" o:spid="_x0000_s1113" style="position:absolute;left:3536;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AB5450" w:rsidRDefault="00AB5450" w:rsidP="00B338DD">
                                <w:r>
                                  <w:rPr>
                                    <w:rFonts w:ascii="Times" w:hAnsi="Times" w:cs="Times"/>
                                    <w:color w:val="000000"/>
                                    <w:sz w:val="24"/>
                                    <w:szCs w:val="24"/>
                                    <w:lang w:val="en-US"/>
                                  </w:rPr>
                                  <w:t>*</w:t>
                                </w:r>
                              </w:p>
                            </w:txbxContent>
                          </v:textbox>
                        </v:rect>
                        <v:rect id="Rectangle 95" o:spid="_x0000_s1114" style="position:absolute;left:3656;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AB5450" w:rsidRDefault="00AB5450" w:rsidP="00B338DD">
                                <w:r>
                                  <w:rPr>
                                    <w:rFonts w:ascii="Times" w:hAnsi="Times" w:cs="Times"/>
                                    <w:color w:val="000000"/>
                                    <w:sz w:val="24"/>
                                    <w:szCs w:val="24"/>
                                    <w:lang w:val="en-US"/>
                                  </w:rPr>
                                  <w:t>10</w:t>
                                </w:r>
                              </w:p>
                            </w:txbxContent>
                          </v:textbox>
                        </v:rect>
                        <v:rect id="Rectangle 96" o:spid="_x0000_s1115" style="position:absolute;left:3916;top:38;width:344;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AB5450" w:rsidRPr="00E03A8E" w:rsidRDefault="00AB5450" w:rsidP="00B338DD">
                                <w:pPr>
                                  <w:rPr>
                                    <w:rFonts w:ascii="Times" w:hAnsi="Times" w:cs="Times"/>
                                    <w:i/>
                                    <w:iCs/>
                                    <w:color w:val="000000"/>
                                    <w:sz w:val="14"/>
                                    <w:szCs w:val="14"/>
                                    <w:lang w:val="en-US"/>
                                  </w:rPr>
                                </w:pPr>
                                <w:r>
                                  <w:rPr>
                                    <w:rFonts w:ascii="Times" w:hAnsi="Times" w:cs="Times"/>
                                    <w:i/>
                                    <w:iCs/>
                                    <w:color w:val="000000"/>
                                    <w:sz w:val="14"/>
                                    <w:szCs w:val="14"/>
                                    <w:lang w:val="en-US"/>
                                  </w:rPr>
                                  <w:t>pH</w:t>
                                </w:r>
                                <w:r w:rsidRPr="00E03A8E">
                                  <w:rPr>
                                    <w:rFonts w:ascii="Times" w:hAnsi="Times" w:cs="Times"/>
                                    <w:i/>
                                    <w:iCs/>
                                    <w:color w:val="000000"/>
                                    <w:sz w:val="14"/>
                                    <w:szCs w:val="14"/>
                                    <w:lang w:val="en-US"/>
                                  </w:rPr>
                                  <w:t>_р</w:t>
                                </w:r>
                              </w:p>
                            </w:txbxContent>
                          </v:textbox>
                        </v:rect>
                        <v:rect id="Rectangle 97" o:spid="_x0000_s1116" style="position:absolute;left:2719;top:367;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AB5450" w:rsidRDefault="00AB5450" w:rsidP="00B338DD">
                                <w:r>
                                  <w:rPr>
                                    <w:rFonts w:ascii="Symbol" w:hAnsi="Symbol" w:cs="Symbol"/>
                                    <w:color w:val="000000"/>
                                    <w:sz w:val="24"/>
                                    <w:szCs w:val="24"/>
                                    <w:lang w:val="en-US"/>
                                  </w:rPr>
                                  <w:t></w:t>
                                </w:r>
                              </w:p>
                            </w:txbxContent>
                          </v:textbox>
                        </v:rect>
                        <v:line id="Line 98" o:spid="_x0000_s1117" style="position:absolute;visibility:visible;mso-wrap-style:square" from="1517,365" to="422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Q9cAAAADbAAAADwAAAGRycy9kb3ducmV2LnhtbERPPW/CMBDdK/EfrENiKw4MFKUYhBCI&#10;dCTJwnaNjyQiPke2gZRfXw9IjE/ve7UZTCfu5HxrWcFsmoAgrqxuuVZQFofPJQgfkDV2lknBH3nY&#10;rEcfK0y1ffCJ7nmoRQxhn6KCJoQ+ldJXDRn0U9sTR+5incEQoauldviI4aaT8yRZSIMtx4YGe9o1&#10;VF3zm1HwzIp9ec6Op9/yeS5+bO7d12Wp1GQ8bL9BBBrCW/xyZ1rBIq6PX+IP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tkPXAAAAA2wAAAA8AAAAAAAAAAAAAAAAA&#10;oQIAAGRycy9kb3ducmV2LnhtbFBLBQYAAAAABAAEAPkAAACOAwAAAAA=&#10;" strokeweight="28e-5mm"/>
                        <v:rect id="Rectangle 99" o:spid="_x0000_s1118" style="position:absolute;left:1427;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00" o:spid="_x0000_s1119" style="position:absolute;left:1427;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01" o:spid="_x0000_s1120" style="position:absolute;left:1427;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02" o:spid="_x0000_s1121" style="position:absolute;left:4215;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03" o:spid="_x0000_s1122" style="position:absolute;left:4215;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04" o:spid="_x0000_s1123" style="position:absolute;left:4215;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05" o:spid="_x0000_s1124" style="position:absolute;left:2941;top:380;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5dpcMA&#10;AADbAAAADwAAAGRycy9kb3ducmV2LnhtbESP0WoCMRRE3wv+Q7iCbzW7RcRdjaIFsRR80PYDLpvr&#10;ZnVzsyZRt3/fFAo+DjNzhlmsetuKO/nQOFaQjzMQxJXTDdcKvr+2rzMQISJrbB2Tgh8KsFoOXhZY&#10;avfgA92PsRYJwqFEBSbGrpQyVIYshrHriJN3ct5iTNLXUnt8JLht5VuWTaXFhtOCwY7eDVWX480q&#10;oM3uUJzXweylz0O+/5wWk91VqdGwX89BROrjM/zf/tAKigL+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5dpcMAAADbAAAADwAAAAAAAAAAAAAAAACYAgAAZHJzL2Rv&#10;d25yZXYueG1sUEsFBgAAAAAEAAQA9QAAAIgDAAAAAA==&#10;" filled="f" stroked="f">
                          <v:textbox inset="0,0,0,0">
                            <w:txbxContent>
                              <w:p w:rsidR="00AB5450" w:rsidRPr="00D6160C"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106" o:spid="_x0000_s1125" style="position:absolute;left:2212;top:379;width:470;height:3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8wzsUA&#10;AADcAAAADwAAAGRycy9kb3ducmV2LnhtbESPQWsCMRCF70L/Q5hCb5pdKVK3RrGCWAoe1P6AYTPd&#10;bLuZrEmq6793DoXeZnhv3vtmsRp8py4UUxvYQDkpQBHXwbbcGPg8bccvoFJGttgFJgM3SrBaPowW&#10;WNlw5QNdjrlREsKpQgMu577SOtWOPKZJ6IlF+wrRY5Y1NtpGvEq47/S0KGbaY8vS4LCnjaP65/jr&#10;DdDb7jD/Xie317FM5f5jNn/enY15ehzWr6AyDfnf/Hf9bgW/EHx5Ri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zDOxQAAANwAAAAPAAAAAAAAAAAAAAAAAJgCAABkcnMv&#10;ZG93bnJldi54bWxQSwUGAAAAAAQABAD1AAAAigMAAAAA&#10;" filled="f" stroked="f">
                          <v:textbox inset="0,0,0,0">
                            <w:txbxContent>
                              <w:p w:rsidR="00AB5450" w:rsidRPr="00E03A8E"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group>
                      <w10:anchorlock/>
                    </v:group>
                  </w:pict>
                </mc:Fallback>
              </mc:AlternateContent>
            </w:r>
            <w:r w:rsidR="008D6E9B" w:rsidRPr="00703017">
              <w:rPr>
                <w:rFonts w:ascii="Times New Roman" w:hAnsi="Times New Roman" w:cs="Times New Roman"/>
                <w:i/>
                <w:iCs/>
                <w:position w:val="-48"/>
                <w:lang w:val="bg-BG"/>
              </w:rPr>
              <w:t>(Eq 1)</w:t>
            </w:r>
          </w:p>
          <w:p w:rsidR="008D6E9B" w:rsidRPr="002E283F" w:rsidRDefault="008D6E9B" w:rsidP="009D4C75">
            <w:pPr>
              <w:tabs>
                <w:tab w:val="left" w:pos="1701"/>
              </w:tabs>
              <w:spacing w:before="60" w:after="60" w:line="240" w:lineRule="auto"/>
              <w:ind w:left="720"/>
              <w:rPr>
                <w:rFonts w:ascii="Arial" w:hAnsi="Arial" w:cs="Arial"/>
                <w:sz w:val="16"/>
                <w:szCs w:val="16"/>
                <w:lang w:val="bg-BG"/>
              </w:rPr>
            </w:pPr>
          </w:p>
          <w:p w:rsidR="008D6E9B" w:rsidRPr="00703017" w:rsidRDefault="008D6E9B" w:rsidP="009D4C75">
            <w:pPr>
              <w:tabs>
                <w:tab w:val="left" w:pos="1701"/>
              </w:tabs>
              <w:spacing w:before="60" w:after="60" w:line="240" w:lineRule="auto"/>
              <w:ind w:left="720"/>
              <w:rPr>
                <w:rFonts w:ascii="Arial" w:hAnsi="Arial" w:cs="Arial"/>
                <w:sz w:val="16"/>
                <w:szCs w:val="16"/>
                <w:lang w:val="bg-BG" w:eastAsia="de-DE"/>
              </w:rPr>
            </w:pPr>
            <w:r w:rsidRPr="00703017">
              <w:rPr>
                <w:rFonts w:ascii="Arial" w:hAnsi="Arial" w:cs="Arial"/>
                <w:sz w:val="16"/>
                <w:szCs w:val="16"/>
                <w:lang w:val="bg-BG"/>
              </w:rPr>
              <w:t>Където:</w:t>
            </w:r>
          </w:p>
          <w:p w:rsidR="008D6E9B" w:rsidRPr="00703017" w:rsidRDefault="008D6E9B" w:rsidP="009D4C75">
            <w:pPr>
              <w:tabs>
                <w:tab w:val="left" w:pos="1701"/>
              </w:tabs>
              <w:spacing w:before="60" w:after="60" w:line="240" w:lineRule="auto"/>
              <w:ind w:left="720"/>
              <w:rPr>
                <w:rFonts w:ascii="Arial" w:hAnsi="Arial" w:cs="Arial"/>
                <w:sz w:val="16"/>
                <w:szCs w:val="16"/>
                <w:lang w:val="bg-BG" w:eastAsia="de-DE"/>
              </w:rPr>
            </w:pPr>
            <w:r w:rsidRPr="00703017">
              <w:rPr>
                <w:rFonts w:ascii="Arial" w:hAnsi="Arial" w:cs="Arial"/>
                <w:sz w:val="16"/>
                <w:szCs w:val="16"/>
                <w:lang w:val="bg-BG"/>
              </w:rPr>
              <w:t>Q_ов се отнася до отпадния поток (в m³/ден)</w:t>
            </w:r>
          </w:p>
          <w:p w:rsidR="008D6E9B" w:rsidRPr="00703017" w:rsidRDefault="008D6E9B" w:rsidP="009D4C75">
            <w:pPr>
              <w:tabs>
                <w:tab w:val="left" w:pos="1701"/>
              </w:tabs>
              <w:spacing w:before="60" w:after="60" w:line="240" w:lineRule="auto"/>
              <w:ind w:left="720"/>
              <w:rPr>
                <w:rFonts w:ascii="Arial" w:hAnsi="Arial" w:cs="Arial"/>
                <w:sz w:val="16"/>
                <w:szCs w:val="16"/>
                <w:lang w:val="bg-BG" w:eastAsia="de-DE"/>
              </w:rPr>
            </w:pPr>
            <w:r w:rsidRPr="00703017">
              <w:rPr>
                <w:rFonts w:ascii="Arial" w:hAnsi="Arial" w:cs="Arial"/>
                <w:sz w:val="16"/>
                <w:szCs w:val="16"/>
                <w:lang w:val="bg-BG"/>
              </w:rPr>
              <w:t>Q_р се отнася до поток на реката нагоре по течението(в m³/ден)</w:t>
            </w:r>
          </w:p>
          <w:p w:rsidR="008D6E9B" w:rsidRPr="00703017" w:rsidRDefault="008D6E9B" w:rsidP="009D4C75">
            <w:pPr>
              <w:tabs>
                <w:tab w:val="left" w:pos="1701"/>
              </w:tabs>
              <w:spacing w:before="60" w:after="60" w:line="240" w:lineRule="auto"/>
              <w:ind w:left="720"/>
              <w:rPr>
                <w:rFonts w:ascii="Arial" w:hAnsi="Arial" w:cs="Arial"/>
                <w:sz w:val="16"/>
                <w:szCs w:val="16"/>
                <w:lang w:val="bg-BG" w:eastAsia="de-DE"/>
              </w:rPr>
            </w:pPr>
            <w:r w:rsidRPr="00703017">
              <w:rPr>
                <w:rFonts w:ascii="Arial" w:hAnsi="Arial" w:cs="Arial"/>
                <w:sz w:val="16"/>
                <w:szCs w:val="16"/>
                <w:lang w:val="bg-BG"/>
              </w:rPr>
              <w:t>pH_ов се отнася до pH на отпадните води</w:t>
            </w:r>
          </w:p>
          <w:p w:rsidR="008D6E9B" w:rsidRPr="00703017" w:rsidRDefault="008D6E9B" w:rsidP="009D4C75">
            <w:pPr>
              <w:tabs>
                <w:tab w:val="left" w:pos="1701"/>
              </w:tabs>
              <w:spacing w:before="60" w:after="60" w:line="240" w:lineRule="auto"/>
              <w:ind w:left="720"/>
              <w:rPr>
                <w:rFonts w:ascii="Arial" w:hAnsi="Arial" w:cs="Arial"/>
                <w:sz w:val="16"/>
                <w:szCs w:val="16"/>
                <w:lang w:val="bg-BG" w:eastAsia="de-DE"/>
              </w:rPr>
            </w:pPr>
            <w:r w:rsidRPr="00703017">
              <w:rPr>
                <w:rFonts w:ascii="Arial" w:hAnsi="Arial" w:cs="Arial"/>
                <w:sz w:val="16"/>
                <w:szCs w:val="16"/>
                <w:lang w:val="bg-BG"/>
              </w:rPr>
              <w:t>pH_р се отнася до pH на реката, нагоре по течението от точката на заустване</w:t>
            </w:r>
          </w:p>
          <w:p w:rsidR="008D6E9B" w:rsidRPr="00703017" w:rsidRDefault="008D6E9B" w:rsidP="009D4C75">
            <w:pPr>
              <w:tabs>
                <w:tab w:val="left" w:pos="1701"/>
              </w:tabs>
              <w:spacing w:before="60" w:after="60" w:line="240" w:lineRule="auto"/>
              <w:ind w:left="720"/>
              <w:rPr>
                <w:rFonts w:ascii="Arial" w:hAnsi="Arial" w:cs="Arial"/>
                <w:sz w:val="16"/>
                <w:szCs w:val="16"/>
                <w:lang w:val="bg-BG" w:eastAsia="de-DE"/>
              </w:rPr>
            </w:pPr>
            <w:r w:rsidRPr="00703017">
              <w:rPr>
                <w:rFonts w:ascii="Arial" w:hAnsi="Arial" w:cs="Arial"/>
                <w:sz w:val="16"/>
                <w:szCs w:val="16"/>
                <w:lang w:val="bg-BG"/>
              </w:rPr>
              <w:t>Моля обърнете внимание, че първоначално могат да се използват стойности по презумпция:</w:t>
            </w:r>
          </w:p>
          <w:p w:rsidR="008D6E9B" w:rsidRPr="00703017" w:rsidRDefault="008D6E9B"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3017">
              <w:rPr>
                <w:rFonts w:ascii="Arial" w:hAnsi="Arial" w:cs="Arial"/>
                <w:sz w:val="16"/>
                <w:szCs w:val="16"/>
                <w:lang w:val="bg-BG"/>
              </w:rPr>
              <w:t>Q-р нагоре по течението: използвайте 1/10 от дистрибуцията по съществуващите измервания или по презумпция стойността 18</w:t>
            </w:r>
            <w:r w:rsidRPr="00C817D1">
              <w:rPr>
                <w:rFonts w:ascii="Arial" w:hAnsi="Arial" w:cs="Arial"/>
                <w:sz w:val="16"/>
                <w:szCs w:val="16"/>
                <w:lang w:val="bg-BG"/>
              </w:rPr>
              <w:t xml:space="preserve"> </w:t>
            </w:r>
            <w:r w:rsidRPr="00703017">
              <w:rPr>
                <w:rFonts w:ascii="Arial" w:hAnsi="Arial" w:cs="Arial"/>
                <w:sz w:val="16"/>
                <w:szCs w:val="16"/>
                <w:lang w:val="bg-BG"/>
              </w:rPr>
              <w:t>000 m³/ден</w:t>
            </w:r>
          </w:p>
          <w:p w:rsidR="008D6E9B" w:rsidRPr="00703017" w:rsidRDefault="008D6E9B"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3017">
              <w:rPr>
                <w:rFonts w:ascii="Arial" w:hAnsi="Arial" w:cs="Arial"/>
                <w:sz w:val="16"/>
                <w:szCs w:val="16"/>
                <w:lang w:val="bg-BG"/>
              </w:rPr>
              <w:t>Q_ов: използвайте по презумпция стойността 2000 m³/ден</w:t>
            </w:r>
          </w:p>
          <w:p w:rsidR="008D6E9B" w:rsidRPr="00703017" w:rsidRDefault="008D6E9B"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3017">
              <w:rPr>
                <w:rFonts w:ascii="Arial" w:hAnsi="Arial" w:cs="Arial"/>
                <w:sz w:val="16"/>
                <w:szCs w:val="16"/>
                <w:lang w:val="bg-BG"/>
              </w:rPr>
              <w:t>pH_р за предпочитане се измерва. Ако няма измервания, приемете неутрално pH = 7, ако това е оправдано.</w:t>
            </w:r>
          </w:p>
          <w:p w:rsidR="008D6E9B" w:rsidRPr="00703017" w:rsidRDefault="008D6E9B"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sz w:val="16"/>
                <w:szCs w:val="16"/>
                <w:lang w:val="bg-BG"/>
              </w:rPr>
              <w:t>Такъв вид изчисления трябва да се разглеждат като най-лош сценарий, когато водните условия са стандартни и в случая няма нищо специфично.</w:t>
            </w:r>
          </w:p>
          <w:p w:rsidR="008D6E9B" w:rsidRPr="00703017" w:rsidRDefault="008D6E9B"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2б</w:t>
            </w:r>
            <w:r w:rsidRPr="00703017">
              <w:rPr>
                <w:rFonts w:ascii="Arial" w:hAnsi="Arial" w:cs="Arial"/>
                <w:sz w:val="16"/>
                <w:szCs w:val="16"/>
                <w:lang w:val="bg-BG"/>
              </w:rPr>
              <w:t xml:space="preserve">: Изчисление 1 (Eq 1) може де се използва за определяне на това, кой pH на обратните води до непоносими нива на pH в приемника. За целта, pH на реката се прима за 9, а pH на отходните води съответно се изчислява (с използването на стойностите по презумпция, както бе показано по-горе, ако това се налага). Тъй като температурата оказва влияние на разтворимостта на варта, pH на отходните води може да се наложи да се наглася според случая. След като се установи максималната допустима стойност на pH в отходните води, се приема че всички концентрации на OH се дължат на изпускане на вар и не съществуват условия на буферен капацитет, които заслужават внимание (това е един нереалистичен най-лош сценарий, който може да бъде усъвършенстван при наличие на някаква допълнителна информация). Максималното количество вар, което може да бъде изпуснато годишно, без това отрицателно да повлияе стойностите на pH в приемащите води се изчислява, като се приеме наличието на химическо равновесие. OH, изразено в молове/литри, се умножава по средния поток на отпадните води и след това се дели на моларната маса </w:t>
            </w:r>
            <w:r w:rsidRPr="0070774F">
              <w:rPr>
                <w:rFonts w:ascii="Arial" w:hAnsi="Arial" w:cs="Arial"/>
                <w:sz w:val="16"/>
                <w:szCs w:val="16"/>
                <w:lang w:val="bg-BG"/>
              </w:rPr>
              <w:t>на CaO.</w:t>
            </w:r>
          </w:p>
          <w:p w:rsidR="008D6E9B" w:rsidRPr="00703017" w:rsidRDefault="008D6E9B"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3</w:t>
            </w:r>
            <w:r w:rsidRPr="00703017">
              <w:rPr>
                <w:rFonts w:ascii="Arial" w:hAnsi="Arial" w:cs="Arial"/>
                <w:sz w:val="16"/>
                <w:szCs w:val="16"/>
                <w:lang w:val="bg-BG"/>
              </w:rPr>
              <w:t>: измерете pH на приемащите води след точката на заустване. Ако pH е под 9, това разумно демонстрира безопасно ползване, с което ES приключва. Ако pH се окаже над 9, тогава се налага прилагане на мерки за управление на риска: отпадните води трябва да преминат през неутрализация, като с това се осигурява безопасно използване на варта във фазите на производство и потребление.</w:t>
            </w:r>
          </w:p>
          <w:p w:rsidR="008D6E9B" w:rsidRPr="00703017" w:rsidRDefault="001D5CEE" w:rsidP="009D4C75">
            <w:pPr>
              <w:tabs>
                <w:tab w:val="left" w:pos="1701"/>
              </w:tabs>
              <w:spacing w:before="60" w:after="60" w:line="240" w:lineRule="auto"/>
              <w:rPr>
                <w:rFonts w:ascii="Arial" w:hAnsi="Arial" w:cs="Arial"/>
                <w:sz w:val="20"/>
                <w:szCs w:val="20"/>
                <w:lang w:val="bg-BG" w:eastAsia="de-DE"/>
              </w:rPr>
            </w:pPr>
            <w:r>
              <w:rPr>
                <w:rFonts w:ascii="Arial" w:hAnsi="Arial" w:cs="Arial"/>
                <w:noProof/>
                <w:sz w:val="20"/>
                <w:szCs w:val="20"/>
                <w:lang w:val="bg-BG" w:eastAsia="bg-BG"/>
              </w:rPr>
              <w:lastRenderedPageBreak/>
              <w:drawing>
                <wp:inline distT="0" distB="0" distL="0" distR="0">
                  <wp:extent cx="5000625" cy="7258050"/>
                  <wp:effectExtent l="0" t="0" r="9525" b="0"/>
                  <wp:docPr id="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0625" cy="7258050"/>
                          </a:xfrm>
                          <a:prstGeom prst="rect">
                            <a:avLst/>
                          </a:prstGeom>
                          <a:noFill/>
                          <a:ln>
                            <a:noFill/>
                          </a:ln>
                        </pic:spPr>
                      </pic:pic>
                    </a:graphicData>
                  </a:graphic>
                </wp:inline>
              </w:drawing>
            </w:r>
          </w:p>
        </w:tc>
      </w:tr>
    </w:tbl>
    <w:p w:rsidR="008D6E9B" w:rsidRPr="00703017" w:rsidRDefault="008D6E9B" w:rsidP="00747C73">
      <w:pPr>
        <w:keepNext/>
        <w:pageBreakBefore/>
        <w:tabs>
          <w:tab w:val="left" w:pos="1418"/>
        </w:tabs>
        <w:spacing w:before="240" w:after="60"/>
        <w:outlineLvl w:val="1"/>
        <w:rPr>
          <w:rFonts w:ascii="Arial" w:hAnsi="Arial" w:cs="Arial"/>
          <w:b/>
          <w:bCs/>
          <w:sz w:val="28"/>
          <w:szCs w:val="28"/>
          <w:lang w:val="bg-BG"/>
        </w:rPr>
      </w:pPr>
      <w:bookmarkStart w:id="12" w:name="_Ref265781973"/>
      <w:bookmarkStart w:id="13" w:name="_Toc270425136"/>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5: Производство и промишлена употреба на масивни предмети, съдържащи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bookmarkEnd w:id="12"/>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6"/>
        <w:gridCol w:w="2576"/>
        <w:gridCol w:w="1442"/>
        <w:gridCol w:w="1629"/>
        <w:gridCol w:w="1859"/>
      </w:tblGrid>
      <w:tr w:rsidR="008D6E9B" w:rsidRPr="0070774F">
        <w:trPr>
          <w:trHeight w:val="315"/>
          <w:jc w:val="center"/>
        </w:trPr>
        <w:tc>
          <w:tcPr>
            <w:tcW w:w="0" w:type="auto"/>
            <w:gridSpan w:val="5"/>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D6E9B" w:rsidRPr="00703017">
        <w:trPr>
          <w:trHeight w:val="315"/>
          <w:jc w:val="center"/>
        </w:trPr>
        <w:tc>
          <w:tcPr>
            <w:tcW w:w="0" w:type="auto"/>
            <w:gridSpan w:val="5"/>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D6E9B" w:rsidRPr="0070774F">
        <w:trPr>
          <w:trHeight w:val="315"/>
          <w:jc w:val="center"/>
        </w:trPr>
        <w:tc>
          <w:tcPr>
            <w:tcW w:w="0" w:type="auto"/>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4"/>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Производство и промишлена употреба на масивни предмети, съдържащи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D6E9B" w:rsidRPr="0070774F">
        <w:trPr>
          <w:trHeight w:val="1349"/>
          <w:jc w:val="center"/>
        </w:trPr>
        <w:tc>
          <w:tcPr>
            <w:tcW w:w="0" w:type="auto"/>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4"/>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SU3, SU1, SU2a, SU2b, SU4, SU5, SU6a, SU6b, SU7, SU8, SU9, SU10, SU11, SU12, SU13, SU14, SU15, SU16, SU17, SU18, SU19, SU20, SU23, SU24</w:t>
            </w:r>
            <w:r w:rsidRPr="00703017">
              <w:rPr>
                <w:lang w:val="bg-BG"/>
              </w:rPr>
              <w:br/>
            </w:r>
            <w:r w:rsidRPr="00703017">
              <w:rPr>
                <w:rFonts w:ascii="Arial" w:hAnsi="Arial" w:cs="Arial"/>
                <w:sz w:val="16"/>
                <w:szCs w:val="16"/>
                <w:lang w:val="bg-BG"/>
              </w:rPr>
              <w:t>PC1, PC2, PC3, PC7, PC8, PC9a, PC9b, PC11, PC12, PC13, PC14, PC15, PC16, PC17, PC18, PC19, PC20, PC21, PC23, PC24, PC25, PC26, PC27, PC28, PC29, PC30, PC31, PC32, PC33, PC34, PC35, PC36, PC37, PC38, PC39, PC40</w:t>
            </w:r>
            <w:r w:rsidRPr="00703017">
              <w:rPr>
                <w:lang w:val="bg-BG"/>
              </w:rPr>
              <w:br/>
            </w:r>
            <w:r w:rsidRPr="00703017">
              <w:rPr>
                <w:rFonts w:ascii="Arial" w:hAnsi="Arial" w:cs="Arial"/>
                <w:sz w:val="16"/>
                <w:szCs w:val="16"/>
                <w:lang w:val="bg-BG"/>
              </w:rPr>
              <w:t>AC1, AC2, AC3, AC4, AC5, AC6, AC7, AC8, AC10, AC11, AC13</w:t>
            </w:r>
          </w:p>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D6E9B" w:rsidRPr="0070774F">
        <w:trPr>
          <w:trHeight w:val="525"/>
          <w:jc w:val="center"/>
        </w:trPr>
        <w:tc>
          <w:tcPr>
            <w:tcW w:w="0" w:type="auto"/>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4"/>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D6E9B" w:rsidRPr="0070774F">
        <w:trPr>
          <w:trHeight w:val="444"/>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4"/>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w:t>
            </w:r>
          </w:p>
        </w:tc>
      </w:tr>
      <w:tr w:rsidR="008D6E9B" w:rsidRPr="0070774F">
        <w:trPr>
          <w:trHeight w:val="315"/>
          <w:jc w:val="center"/>
        </w:trPr>
        <w:tc>
          <w:tcPr>
            <w:tcW w:w="0" w:type="auto"/>
            <w:gridSpan w:val="5"/>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D6E9B" w:rsidRPr="00703017">
        <w:trPr>
          <w:trHeight w:val="315"/>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PROC/ERC</w:t>
            </w:r>
          </w:p>
        </w:tc>
        <w:tc>
          <w:tcPr>
            <w:tcW w:w="0" w:type="auto"/>
            <w:gridSpan w:val="2"/>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0" w:type="auto"/>
            <w:gridSpan w:val="2"/>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6</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Календиране (Операции по пресоване)</w:t>
            </w:r>
          </w:p>
        </w:tc>
        <w:tc>
          <w:tcPr>
            <w:tcW w:w="0" w:type="auto"/>
            <w:gridSpan w:val="2"/>
            <w:vMerge w:val="restart"/>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Повече информация е представена в Ръководството ECHA за информационните изисквания и оценка на безопасността на химичните вещаства, Глава R.12: Дескрипторна система на употребите (ECHA-2010-G-05-EN).</w:t>
            </w: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14</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на препарати или изделия чрез таблетиране, компресия, екструдиране, пелетиране</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21</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Ниско енергийна манипулация на вещества, свързани в материали и/или изделия</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Потенциално закрити обработващи операции с минерали/метали при повишена температура </w:t>
            </w:r>
            <w:r w:rsidRPr="00703017">
              <w:rPr>
                <w:lang w:val="bg-BG"/>
              </w:rPr>
              <w:br/>
            </w:r>
            <w:r w:rsidRPr="00703017">
              <w:rPr>
                <w:rFonts w:ascii="Arial" w:hAnsi="Arial" w:cs="Arial"/>
                <w:sz w:val="16"/>
                <w:szCs w:val="16"/>
                <w:lang w:val="bg-BG"/>
              </w:rPr>
              <w:t>Промишлена обстановка</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23</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Открита обработка и трансфер с минерали/метали при повишена температура</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24</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Висока (механична) енергия при обработване на вещества, свързани в материали и/или изделия</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Други горещи работни операции с метали</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cantSplit/>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ERC 1-7, 12</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формулиране и всички начини на промишлена употреба</w:t>
            </w:r>
          </w:p>
        </w:tc>
        <w:tc>
          <w:tcPr>
            <w:tcW w:w="0" w:type="auto"/>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 xml:space="preserve">ERC 10, 11 </w:t>
            </w:r>
          </w:p>
        </w:tc>
        <w:tc>
          <w:tcPr>
            <w:tcW w:w="0" w:type="auto"/>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Широко дисперсивна употреба на открито и в закрити помещения на изделия и материали с дълъг живот </w:t>
            </w:r>
          </w:p>
        </w:tc>
        <w:tc>
          <w:tcPr>
            <w:tcW w:w="0" w:type="auto"/>
            <w:gridSpan w:val="2"/>
            <w:vMerge/>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15"/>
          <w:jc w:val="center"/>
        </w:trPr>
        <w:tc>
          <w:tcPr>
            <w:tcW w:w="0" w:type="auto"/>
            <w:gridSpan w:val="5"/>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2.1 Контрол на експозицията на работниците</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trHeight w:val="841"/>
          <w:jc w:val="center"/>
        </w:trPr>
        <w:tc>
          <w:tcPr>
            <w:tcW w:w="0" w:type="auto"/>
            <w:gridSpan w:val="5"/>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абразивност се взема предвид нивото й, вместо вътрешно присъщия емисионен потенциал на веществото.</w:t>
            </w: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 23,25</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масивни предмети,</w:t>
            </w:r>
            <w:r w:rsidRPr="00703017">
              <w:rPr>
                <w:lang w:val="bg-BG"/>
              </w:rPr>
              <w:br/>
            </w:r>
            <w:r w:rsidRPr="00703017">
              <w:rPr>
                <w:rFonts w:ascii="Arial" w:hAnsi="Arial" w:cs="Arial"/>
                <w:sz w:val="16"/>
                <w:szCs w:val="16"/>
                <w:lang w:val="bg-BG"/>
              </w:rPr>
              <w:t>разтопени</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24</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масивни предмети</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D6E9B" w:rsidRPr="00703017">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масивни предмети</w:t>
            </w:r>
          </w:p>
        </w:tc>
        <w:tc>
          <w:tcPr>
            <w:tcW w:w="0" w:type="auto"/>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много нисък</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Използвани количества</w:t>
            </w:r>
          </w:p>
        </w:tc>
      </w:tr>
      <w:tr w:rsidR="008D6E9B" w:rsidRPr="0070774F">
        <w:trPr>
          <w:trHeight w:val="673"/>
          <w:jc w:val="center"/>
        </w:trPr>
        <w:tc>
          <w:tcPr>
            <w:tcW w:w="0" w:type="auto"/>
            <w:gridSpan w:val="5"/>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детерминант на вътрешно присъщия на процеса емисионен потенциал.</w:t>
            </w:r>
          </w:p>
        </w:tc>
      </w:tr>
      <w:tr w:rsidR="008D6E9B" w:rsidRPr="0070774F">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4"/>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w:t>
            </w:r>
          </w:p>
        </w:tc>
        <w:tc>
          <w:tcPr>
            <w:tcW w:w="0" w:type="auto"/>
            <w:gridSpan w:val="4"/>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D6E9B" w:rsidRPr="00703017">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4"/>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D6E9B" w:rsidRPr="00703017">
        <w:trPr>
          <w:trHeight w:val="315"/>
          <w:jc w:val="center"/>
        </w:trPr>
        <w:tc>
          <w:tcPr>
            <w:tcW w:w="0" w:type="auto"/>
            <w:gridSpan w:val="5"/>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D6E9B" w:rsidRPr="0070774F">
        <w:trPr>
          <w:trHeight w:val="631"/>
          <w:jc w:val="center"/>
        </w:trPr>
        <w:tc>
          <w:tcPr>
            <w:tcW w:w="0" w:type="auto"/>
            <w:gridSpan w:val="5"/>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Работни условия, като температура и налягане на процеса, се считат за ирелевантни при оценката на професионалната експозиция на извършваните процеси. На етапи на процеса с много висока температура (напр. PROC 22, 23, 25), оценката на експозицията в MEASE обаче се основава и на отношението между температурата на процеса и точката на разтапяне. Тъй като свързаните с процеса температури се различават значително в различните производства, най-високият процент се приема за най-лошия случай на презумпция за целите на оценката на експозицията. По такъв начин всички температури на процеса автоматично се покриват в този сценарий на експозиция за PROC 22, 23 и PROC 25.</w:t>
            </w:r>
          </w:p>
        </w:tc>
      </w:tr>
      <w:tr w:rsidR="008D6E9B" w:rsidRPr="0070774F">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774F">
        <w:trPr>
          <w:trHeight w:val="315"/>
          <w:jc w:val="center"/>
        </w:trPr>
        <w:tc>
          <w:tcPr>
            <w:tcW w:w="0" w:type="auto"/>
            <w:gridSpan w:val="5"/>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Измервания на ниво процес като елемент на управлението на риска (напр. задържане или сегрегиране на емисионния източник) по принцип не се изискват при процесите.</w:t>
            </w:r>
          </w:p>
        </w:tc>
      </w:tr>
      <w:tr w:rsidR="008D6E9B" w:rsidRPr="0070774F">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контрол на дисперсията от източника към работника</w:t>
            </w:r>
          </w:p>
        </w:tc>
      </w:tr>
      <w:tr w:rsidR="008D6E9B" w:rsidRPr="00703017">
        <w:trPr>
          <w:trHeight w:val="301"/>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D6E9B" w:rsidRPr="00703017">
        <w:trPr>
          <w:trHeight w:val="414"/>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6, 14, 21</w:t>
            </w:r>
          </w:p>
        </w:tc>
        <w:tc>
          <w:tcPr>
            <w:tcW w:w="0" w:type="auto"/>
            <w:vMerge w:val="restart"/>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Всяко потенциално налагащо се откъсване на работниците от емисионния източник се включва по-горе под надслова </w:t>
            </w:r>
            <w:r>
              <w:rPr>
                <w:rFonts w:ascii="Arial" w:hAnsi="Arial" w:cs="Arial"/>
                <w:sz w:val="16"/>
                <w:szCs w:val="16"/>
                <w:lang w:val="bg-BG"/>
              </w:rPr>
              <w:t>„</w:t>
            </w:r>
            <w:r w:rsidRPr="00703017">
              <w:rPr>
                <w:rFonts w:ascii="Arial" w:hAnsi="Arial" w:cs="Arial"/>
                <w:sz w:val="16"/>
                <w:szCs w:val="16"/>
                <w:lang w:val="bg-BG"/>
              </w:rPr>
              <w:t>Честота и 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Намаляване на продължителността на експозицията може да се постигне, примерно, чрез инсталиране на вентилирани контролни стаи (позитивно налягане) или чрез извеждане на работника от работното място със съответната експозиция.</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415"/>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 23, 24, 25</w:t>
            </w:r>
          </w:p>
        </w:tc>
        <w:tc>
          <w:tcPr>
            <w:tcW w:w="0" w:type="auto"/>
            <w:vMerge/>
            <w:vAlign w:val="center"/>
          </w:tcPr>
          <w:p w:rsidR="008D6E9B" w:rsidRPr="00703017" w:rsidRDefault="008D6E9B" w:rsidP="009D4C75">
            <w:pPr>
              <w:keepNext/>
              <w:jc w:val="center"/>
              <w:rPr>
                <w:rFonts w:ascii="Arial" w:hAnsi="Arial" w:cs="Arial"/>
                <w:sz w:val="16"/>
                <w:szCs w:val="16"/>
                <w:lang w:val="bg-BG" w:eastAsia="de-DE"/>
              </w:rPr>
            </w:pP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местна вентилация на отработените газове</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78 %</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отделянията, дисперсията и експозицията</w:t>
            </w:r>
          </w:p>
        </w:tc>
      </w:tr>
      <w:tr w:rsidR="008D6E9B" w:rsidRPr="0070774F">
        <w:trPr>
          <w:trHeight w:val="882"/>
          <w:jc w:val="center"/>
        </w:trPr>
        <w:tc>
          <w:tcPr>
            <w:tcW w:w="0" w:type="auto"/>
            <w:gridSpan w:val="5"/>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w:t>
            </w:r>
            <w:r>
              <w:rPr>
                <w:rFonts w:ascii="Arial" w:hAnsi="Arial" w:cs="Arial"/>
                <w:sz w:val="16"/>
                <w:szCs w:val="16"/>
                <w:lang w:val="bg-BG"/>
              </w:rPr>
              <w:t>яна. Не носете заразени дрехи в</w:t>
            </w:r>
            <w:r w:rsidRPr="00703017">
              <w:rPr>
                <w:rFonts w:ascii="Arial" w:hAnsi="Arial" w:cs="Arial"/>
                <w:sz w:val="16"/>
                <w:szCs w:val="16"/>
                <w:lang w:val="bg-BG"/>
              </w:rPr>
              <w:t>къщи. Не издухвайте праха с въздух под налягане.</w:t>
            </w:r>
          </w:p>
        </w:tc>
      </w:tr>
      <w:tr w:rsidR="008D6E9B" w:rsidRPr="0070774F">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Условия и мерки за лична защита, хигиена и оценка на здравето</w:t>
            </w:r>
          </w:p>
        </w:tc>
      </w:tr>
      <w:tr w:rsidR="008D6E9B" w:rsidRPr="0070774F">
        <w:trPr>
          <w:trHeight w:val="301"/>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D6E9B" w:rsidRPr="0070774F">
        <w:trPr>
          <w:trHeight w:val="1099"/>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vMerge w:val="restart"/>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w:t>
            </w:r>
            <w:r w:rsidRPr="0070774F">
              <w:rPr>
                <w:rFonts w:ascii="Arial" w:hAnsi="Arial" w:cs="Arial"/>
                <w:sz w:val="16"/>
                <w:szCs w:val="16"/>
                <w:lang w:val="bg-BG"/>
              </w:rPr>
              <w:t>като CaO е класифицирано като дразнещо</w:t>
            </w:r>
            <w:r w:rsidRPr="00703017">
              <w:rPr>
                <w:rFonts w:ascii="Arial" w:hAnsi="Arial" w:cs="Arial"/>
                <w:sz w:val="16"/>
                <w:szCs w:val="16"/>
                <w:lang w:val="bg-BG"/>
              </w:rPr>
              <w:t xml:space="preserve"> кожата, задължителна е употребата на защитни ръкавици на всички етапи на процеса.</w:t>
            </w:r>
          </w:p>
        </w:tc>
        <w:tc>
          <w:tcPr>
            <w:tcW w:w="0" w:type="auto"/>
            <w:vMerge w:val="restart"/>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D6E9B" w:rsidRPr="00703017">
        <w:trPr>
          <w:trHeight w:val="1099"/>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454"/>
          <w:jc w:val="center"/>
        </w:trPr>
        <w:tc>
          <w:tcPr>
            <w:tcW w:w="0" w:type="auto"/>
            <w:gridSpan w:val="5"/>
            <w:vAlign w:val="center"/>
          </w:tcPr>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D6E9B" w:rsidRPr="00703017" w:rsidRDefault="008D6E9B"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Общ преглед на APF на различните RPE (съгласно BS EN 529:2005) може да се намери в глосара на MEASE.</w:t>
            </w:r>
          </w:p>
        </w:tc>
      </w:tr>
      <w:tr w:rsidR="008D6E9B" w:rsidRPr="0070774F">
        <w:trPr>
          <w:trHeight w:val="315"/>
          <w:jc w:val="center"/>
        </w:trPr>
        <w:tc>
          <w:tcPr>
            <w:tcW w:w="0" w:type="auto"/>
            <w:gridSpan w:val="5"/>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2.2 Контрол на експозицията за околната среда</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3017">
        <w:trPr>
          <w:trHeight w:val="315"/>
          <w:jc w:val="center"/>
        </w:trPr>
        <w:tc>
          <w:tcPr>
            <w:tcW w:w="0" w:type="auto"/>
            <w:gridSpan w:val="5"/>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Дневното и годишното количество на обект (за точкови източници) не се счита за основен детерминант на експозицията за околната среда.</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D6E9B" w:rsidRPr="00703017">
        <w:trPr>
          <w:trHeight w:val="315"/>
          <w:jc w:val="center"/>
        </w:trPr>
        <w:tc>
          <w:tcPr>
            <w:tcW w:w="0" w:type="auto"/>
            <w:gridSpan w:val="5"/>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Прекъсваема (&lt; 12 пъти в годината) или непрекъсваема употреба/отделяне</w:t>
            </w:r>
          </w:p>
        </w:tc>
      </w:tr>
      <w:tr w:rsidR="008D6E9B" w:rsidRPr="00703017">
        <w:trPr>
          <w:trHeight w:val="315"/>
          <w:jc w:val="center"/>
        </w:trPr>
        <w:tc>
          <w:tcPr>
            <w:tcW w:w="0" w:type="auto"/>
            <w:gridSpan w:val="5"/>
            <w:shd w:val="clear" w:color="000000" w:fill="CCCCCC"/>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D6E9B" w:rsidRPr="00703017">
        <w:trPr>
          <w:trHeight w:val="315"/>
          <w:jc w:val="center"/>
        </w:trPr>
        <w:tc>
          <w:tcPr>
            <w:tcW w:w="0" w:type="auto"/>
            <w:gridSpan w:val="5"/>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Скорост на потока на приемащите повърхностни води: 18 000 m³/ден</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rPr>
          <w:trHeight w:val="315"/>
          <w:jc w:val="center"/>
        </w:trPr>
        <w:tc>
          <w:tcPr>
            <w:tcW w:w="0" w:type="auto"/>
            <w:gridSpan w:val="5"/>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Скорос</w:t>
            </w:r>
            <w:r>
              <w:rPr>
                <w:rFonts w:ascii="Arial" w:hAnsi="Arial" w:cs="Arial"/>
                <w:sz w:val="16"/>
                <w:szCs w:val="16"/>
                <w:lang w:val="bg-BG"/>
              </w:rPr>
              <w:t>т на изтичащия отпаден поток: 2</w:t>
            </w:r>
            <w:r w:rsidRPr="00703017">
              <w:rPr>
                <w:rFonts w:ascii="Arial" w:hAnsi="Arial" w:cs="Arial"/>
                <w:sz w:val="16"/>
                <w:szCs w:val="16"/>
                <w:lang w:val="bg-BG"/>
              </w:rPr>
              <w:t>000 m³/ден</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D6E9B" w:rsidRPr="0070774F">
        <w:trPr>
          <w:trHeight w:val="765"/>
          <w:jc w:val="center"/>
        </w:trPr>
        <w:tc>
          <w:tcPr>
            <w:tcW w:w="0" w:type="auto"/>
            <w:gridSpan w:val="5"/>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Мерките за управление на риска за околната среда целят избягване на изпускания на </w:t>
            </w:r>
            <w:r>
              <w:rPr>
                <w:rFonts w:ascii="Arial" w:hAnsi="Arial" w:cs="Arial"/>
                <w:sz w:val="16"/>
                <w:szCs w:val="16"/>
                <w:lang w:val="bg-BG"/>
              </w:rPr>
              <w:t>варови</w:t>
            </w:r>
            <w:r w:rsidRPr="00703017">
              <w:rPr>
                <w:rFonts w:ascii="Arial" w:hAnsi="Arial" w:cs="Arial"/>
                <w:sz w:val="16"/>
                <w:szCs w:val="16"/>
                <w:lang w:val="bg-BG"/>
              </w:rPr>
              <w:t xml:space="preserve"> разтвори в обществената канализация или в повърхностните води, когато се очаква тези изпускания да доведат до значителни промени на pH. Изисква се редовен контрол на нивото на pH в процеса на въвеждане на индустриалните в природните води. Най-общо изпусканията трябва да се извършват по такъв начин, че промяната в нивото на pH в приемащите повърхностни води да е минимално (напр. чрез неутрализация). По принцип болшинството водни организми могат да понесат стойности на pH в рамките на 6-9. Това е отразено и в </w:t>
            </w:r>
            <w:r>
              <w:rPr>
                <w:rFonts w:ascii="Arial" w:hAnsi="Arial" w:cs="Arial"/>
                <w:sz w:val="16"/>
                <w:szCs w:val="16"/>
                <w:lang w:val="bg-BG"/>
              </w:rPr>
              <w:t>описанието на</w:t>
            </w:r>
            <w:r w:rsidRPr="00703017">
              <w:rPr>
                <w:rFonts w:ascii="Arial" w:hAnsi="Arial" w:cs="Arial"/>
                <w:sz w:val="16"/>
                <w:szCs w:val="16"/>
                <w:lang w:val="bg-BG"/>
              </w:rPr>
              <w:t xml:space="preserve"> стандартни тестове с водни организми OECD. Обосновката на тази мярка за управление на риска може да се намери в уводната част.</w:t>
            </w:r>
          </w:p>
        </w:tc>
      </w:tr>
      <w:tr w:rsidR="008D6E9B" w:rsidRPr="0070774F">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свързани с отпадъците</w:t>
            </w:r>
          </w:p>
        </w:tc>
      </w:tr>
      <w:tr w:rsidR="008D6E9B" w:rsidRPr="0070774F">
        <w:trPr>
          <w:trHeight w:val="356"/>
          <w:jc w:val="center"/>
        </w:trPr>
        <w:tc>
          <w:tcPr>
            <w:tcW w:w="0" w:type="auto"/>
            <w:gridSpan w:val="5"/>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Твърдит</w:t>
            </w:r>
            <w:r>
              <w:rPr>
                <w:rFonts w:ascii="Arial" w:hAnsi="Arial" w:cs="Arial"/>
                <w:sz w:val="16"/>
                <w:szCs w:val="16"/>
                <w:lang w:val="bg-BG"/>
              </w:rPr>
              <w:t>е промишлени отпадъци от вар</w:t>
            </w:r>
            <w:r w:rsidRPr="00703017">
              <w:rPr>
                <w:rFonts w:ascii="Arial" w:hAnsi="Arial" w:cs="Arial"/>
                <w:sz w:val="16"/>
                <w:szCs w:val="16"/>
                <w:lang w:val="bg-BG"/>
              </w:rPr>
              <w:t xml:space="preserve"> трябва да се рециклират или изхвърлят в промишлените отпадни води и да се неутрализират по-нататък, ако е необходимо.</w:t>
            </w:r>
          </w:p>
        </w:tc>
      </w:tr>
      <w:tr w:rsidR="008D6E9B" w:rsidRPr="0070774F">
        <w:trPr>
          <w:trHeight w:val="315"/>
          <w:jc w:val="center"/>
        </w:trPr>
        <w:tc>
          <w:tcPr>
            <w:tcW w:w="0" w:type="auto"/>
            <w:gridSpan w:val="5"/>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3. Оценка на експозицията и референция на източника</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D6E9B" w:rsidRPr="0070774F">
        <w:trPr>
          <w:trHeight w:val="601"/>
          <w:jc w:val="center"/>
        </w:trPr>
        <w:tc>
          <w:tcPr>
            <w:tcW w:w="0" w:type="auto"/>
            <w:gridSpan w:val="5"/>
            <w:vAlign w:val="center"/>
          </w:tcPr>
          <w:p w:rsidR="008D6E9B" w:rsidRPr="0070774F" w:rsidRDefault="008D6E9B" w:rsidP="002A1C46">
            <w:pPr>
              <w:keepNext/>
              <w:spacing w:line="240" w:lineRule="auto"/>
              <w:rPr>
                <w:rFonts w:ascii="Arial" w:hAnsi="Arial" w:cs="Arial"/>
                <w:sz w:val="16"/>
                <w:szCs w:val="16"/>
                <w:lang w:val="bg-BG" w:eastAsia="de-DE"/>
              </w:rPr>
            </w:pPr>
            <w:r w:rsidRPr="0070774F">
              <w:rPr>
                <w:rFonts w:ascii="Arial" w:hAnsi="Arial" w:cs="Arial"/>
                <w:sz w:val="16"/>
                <w:szCs w:val="16"/>
                <w:lang w:val="bg-BG"/>
              </w:rPr>
              <w:t>Инструментът за оценка на експозицията MEASE се използва за оценка на експозицията при вдишване. Съотношението на характеризиране на риска (RCR) еотношение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за CaO от 1 mg/m³ (като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тъй като вдишаната фракция е подфракция на вдишваната фракция, съгласно EN 481.</w:t>
            </w:r>
          </w:p>
        </w:tc>
      </w:tr>
      <w:tr w:rsidR="008D6E9B" w:rsidRPr="0070774F">
        <w:trPr>
          <w:trHeight w:val="679"/>
          <w:jc w:val="center"/>
        </w:trPr>
        <w:tc>
          <w:tcPr>
            <w:tcW w:w="0" w:type="auto"/>
            <w:vAlign w:val="center"/>
          </w:tcPr>
          <w:p w:rsidR="008D6E9B" w:rsidRPr="00703017" w:rsidRDefault="008D6E9B" w:rsidP="009D4C75">
            <w:pPr>
              <w:keepNext/>
              <w:spacing w:line="240" w:lineRule="auto"/>
              <w:jc w:val="both"/>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Методология, използвана за оценка на експозицията при вдишване</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на експозиция при вдишване (RCR)</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Методология, използвана за оценка на дермалната експозиция</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при дермална експозиция (RCR)</w:t>
            </w:r>
          </w:p>
        </w:tc>
      </w:tr>
      <w:tr w:rsidR="008D6E9B" w:rsidRPr="0070774F">
        <w:trPr>
          <w:trHeight w:val="301"/>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6, 14, 21, 22, 23, 24, 25</w:t>
            </w:r>
          </w:p>
        </w:tc>
        <w:tc>
          <w:tcPr>
            <w:tcW w:w="0" w:type="auto"/>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MEASE</w:t>
            </w:r>
          </w:p>
        </w:tc>
        <w:tc>
          <w:tcPr>
            <w:tcW w:w="0" w:type="auto"/>
            <w:vAlign w:val="center"/>
          </w:tcPr>
          <w:p w:rsidR="008D6E9B" w:rsidRPr="0070774F" w:rsidRDefault="008D6E9B" w:rsidP="003F243A">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&lt; 1 mg/m³ (0</w:t>
            </w:r>
            <w:r w:rsidRPr="0070774F">
              <w:rPr>
                <w:rFonts w:ascii="Arial" w:hAnsi="Arial" w:cs="Arial"/>
                <w:sz w:val="16"/>
                <w:szCs w:val="16"/>
                <w:lang w:val="de-DE"/>
              </w:rPr>
              <w:t>,</w:t>
            </w:r>
            <w:r w:rsidRPr="0070774F">
              <w:rPr>
                <w:rFonts w:ascii="Arial" w:hAnsi="Arial" w:cs="Arial"/>
                <w:sz w:val="16"/>
                <w:szCs w:val="16"/>
                <w:lang w:val="bg-BG"/>
              </w:rPr>
              <w:t>01 – 0</w:t>
            </w:r>
            <w:r w:rsidRPr="0070774F">
              <w:rPr>
                <w:rFonts w:ascii="Arial" w:hAnsi="Arial" w:cs="Arial"/>
                <w:sz w:val="16"/>
                <w:szCs w:val="16"/>
                <w:lang w:val="de-DE"/>
              </w:rPr>
              <w:t>,</w:t>
            </w:r>
            <w:r w:rsidRPr="0070774F">
              <w:rPr>
                <w:rFonts w:ascii="Arial" w:hAnsi="Arial" w:cs="Arial"/>
                <w:sz w:val="16"/>
                <w:szCs w:val="16"/>
                <w:lang w:val="bg-BG"/>
              </w:rPr>
              <w:t>44)</w:t>
            </w:r>
          </w:p>
        </w:tc>
        <w:tc>
          <w:tcPr>
            <w:tcW w:w="0" w:type="auto"/>
            <w:gridSpan w:val="2"/>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Тъй като CaO се класифицира като дразнещо кожата, дермалната експозиция трябва да се минимализира до технически оправданото. Не е получен DNEL за дермалните ефекти. Така че дермалната експозиция не се оценява в този сценарий на експозиция.</w:t>
            </w:r>
          </w:p>
        </w:tc>
      </w:tr>
      <w:tr w:rsidR="008D6E9B" w:rsidRPr="00703017">
        <w:trPr>
          <w:trHeight w:val="315"/>
          <w:jc w:val="center"/>
        </w:trPr>
        <w:tc>
          <w:tcPr>
            <w:tcW w:w="0" w:type="auto"/>
            <w:gridSpan w:val="5"/>
            <w:shd w:val="clear" w:color="000000" w:fill="C0C0C0"/>
            <w:vAlign w:val="center"/>
          </w:tcPr>
          <w:p w:rsidR="008D6E9B" w:rsidRPr="0070774F" w:rsidRDefault="008D6E9B" w:rsidP="009D4C75">
            <w:pPr>
              <w:keepNext/>
              <w:spacing w:line="240" w:lineRule="auto"/>
              <w:jc w:val="both"/>
              <w:rPr>
                <w:rFonts w:ascii="Arial" w:hAnsi="Arial" w:cs="Arial"/>
                <w:b/>
                <w:bCs/>
                <w:color w:val="0000FF"/>
                <w:sz w:val="16"/>
                <w:szCs w:val="16"/>
                <w:lang w:val="bg-BG" w:eastAsia="de-DE"/>
              </w:rPr>
            </w:pPr>
            <w:r w:rsidRPr="0070774F">
              <w:rPr>
                <w:rFonts w:ascii="Arial" w:hAnsi="Arial" w:cs="Arial"/>
                <w:b/>
                <w:bCs/>
                <w:color w:val="0000FF"/>
                <w:sz w:val="16"/>
                <w:szCs w:val="16"/>
                <w:lang w:val="bg-BG"/>
              </w:rPr>
              <w:t>Емисии в околната среда</w:t>
            </w:r>
          </w:p>
        </w:tc>
      </w:tr>
      <w:tr w:rsidR="008D6E9B" w:rsidRPr="0070774F">
        <w:trPr>
          <w:cantSplit/>
          <w:trHeight w:val="301"/>
          <w:jc w:val="center"/>
        </w:trPr>
        <w:tc>
          <w:tcPr>
            <w:tcW w:w="0" w:type="auto"/>
            <w:gridSpan w:val="5"/>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Оценката на експозицията за околната среда се отнася само до водната среда, когато тя е засегната, вкл. ПСОВ/ППСОВ, тъй като емисиите на CaO на различните стадий от жизнения цикъл (производство и употреба) засягат основно водата (отпадната). Оценката на ефекта върху и риска за водата се занимава само с въздействието върху организмите/екосистемите поради възможни изпускания на OH и промяна на pH, като токсичността на Ca2+ се очаква да е незначителна в сравнение с (потенциалния) ефект на pH. Разглежда се само на местно ниво, в т.ч. общинските ПСОВ и ППСОВ, където ги има, както за производство, така и за промишлено ползване, тъй като се очакват ефекти единствено на местно ниво. Високата разтворимост във вода и много ниското парно налягане показват, че CaO може да се открие основно във водата. Значителни емисии и експозиция на въздуха не се очакват, поради ниското парно налягане на CaO. Значителни емисии или експозиция на сухоземната среда също не се очакват за този сценарий на експозиция. Оценката на експозицията за водната среда следователно се занимава само с възможните промени на pH в отходните води на ПСОВ и повърхностните води, свързани с изпускането на OH на местно ниво. Към оценката на експозицията се подхожда с оценка на въздействието на получилото се pH: pH на повърхностните води не трябва да надвишава 9.</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4"/>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Производството на CaO може евентуално да доведе до емисии във водата и увеличаване на местно ниво на концентрацията на CaO, което се отразява на pH във водната среда. Когато pH не се неутрализира, изпускането на отпадни води от производството на CaO може да повлияе върху pH на приемащата река. pH на заустваната вода обикновено се измерва много често и може да бъде лесно неутрализирано, толкова често, колкото се изисква от националното законодателство.</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4"/>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Отпадните води от производството на CaO представляват неорганичен поток и затова не се третират биологично. Следователно, отпадният поток от обекти за производство на CaO обикновено не се третират в биологични ППСОВ, но могат да се използват за контрол на pH на киселинните отпадни водни потоци, които се обработват в биологичните ППСОВ.</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водно-пелагична камера</w:t>
            </w:r>
          </w:p>
        </w:tc>
        <w:tc>
          <w:tcPr>
            <w:tcW w:w="0" w:type="auto"/>
            <w:gridSpan w:val="4"/>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Когато CaO се емитира в повърхностните води, сорбцията в частици и седименти е незначителна. Когато варта се отделя в повърхностните води, pH може да нарасне в зависимост от буферния капацитет на водата. Колкото е по-висок буферният капацитет на водата, толкова по-нисък е ефектът върху pH. Най-общо буферният капацитет, който не позволява промяна в киселинността или алкалността на водите, се регулира от равновесието между въглеродния двуокис (CO2), бикарбонатния йон (HCO3-) и карбонатния йон (CO32-).</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4"/>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Седиментната част не е включена в този ES, защото не се счита за релевантна по отношение на CaO: когато CaO се емитира във водна среда, сорбцията в седиментарни частици е незначителна.</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gridSpan w:val="4"/>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Сухоземната част не е включена в този сценарий на експозиция, защото се счита за ирелевантна.</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4"/>
            <w:vAlign w:val="center"/>
          </w:tcPr>
          <w:p w:rsidR="008D6E9B" w:rsidRPr="0070774F" w:rsidRDefault="008D6E9B" w:rsidP="006B23EB">
            <w:pPr>
              <w:spacing w:line="240" w:lineRule="auto"/>
              <w:rPr>
                <w:rFonts w:ascii="Arial" w:hAnsi="Arial" w:cs="Arial"/>
                <w:sz w:val="16"/>
                <w:szCs w:val="16"/>
                <w:lang w:val="bg-BG" w:eastAsia="de-DE"/>
              </w:rPr>
            </w:pPr>
            <w:r w:rsidRPr="0070774F">
              <w:rPr>
                <w:rFonts w:ascii="Arial" w:hAnsi="Arial" w:cs="Arial"/>
                <w:sz w:val="16"/>
                <w:szCs w:val="16"/>
                <w:lang w:val="bg-BG"/>
              </w:rPr>
              <w:t>Атмосферната част не е включена в този СES, защото не се счита за релевантна по отношение на CaO: когато се емитират във въздуха като воден аерозол, CaO се неутрализират, в резултат на реакцията им с CO2 (или други киселини), във HCO3- и Ca2+. Впоследствие, солите (като калциевия бикарбонат) се отмиват от въздуха и по този начин атмосферните емисии на неутрализираното CaO в голямата си част попадат в почвата и водите.</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lastRenderedPageBreak/>
              <w:t>Концентрация на експозицията, засягаща хранителната верига (вторично отравяне)</w:t>
            </w:r>
          </w:p>
        </w:tc>
        <w:tc>
          <w:tcPr>
            <w:tcW w:w="0" w:type="auto"/>
            <w:gridSpan w:val="4"/>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Биоакумулирането не е </w:t>
            </w:r>
            <w:r w:rsidRPr="0070774F">
              <w:rPr>
                <w:rFonts w:ascii="Arial" w:hAnsi="Arial" w:cs="Arial"/>
                <w:sz w:val="16"/>
                <w:szCs w:val="16"/>
                <w:lang w:val="bg-BG"/>
              </w:rPr>
              <w:t>релевантно за CaO: следователно не се налага оценка на риска за вторично отравяне.</w:t>
            </w:r>
          </w:p>
        </w:tc>
      </w:tr>
      <w:tr w:rsidR="008D6E9B" w:rsidRPr="0070774F">
        <w:trPr>
          <w:trHeight w:val="315"/>
          <w:jc w:val="center"/>
        </w:trPr>
        <w:tc>
          <w:tcPr>
            <w:tcW w:w="0" w:type="auto"/>
            <w:gridSpan w:val="5"/>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 xml:space="preserve">4. Ръководство за </w:t>
            </w:r>
            <w:r>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D6E9B" w:rsidRPr="0070774F">
        <w:trPr>
          <w:cantSplit/>
          <w:trHeight w:val="315"/>
          <w:jc w:val="center"/>
        </w:trPr>
        <w:tc>
          <w:tcPr>
            <w:tcW w:w="0" w:type="auto"/>
            <w:gridSpan w:val="5"/>
            <w:vAlign w:val="center"/>
          </w:tcPr>
          <w:p w:rsidR="008D6E9B" w:rsidRPr="00703017" w:rsidRDefault="008D6E9B"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дермалната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скалиращ инструмент, като MEASE (</w:t>
            </w:r>
            <w:hyperlink r:id="rId22"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глосара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w:t>
            </w:r>
            <w:r>
              <w:rPr>
                <w:rFonts w:ascii="Arial" w:hAnsi="Arial" w:cs="Arial"/>
                <w:sz w:val="16"/>
                <w:szCs w:val="16"/>
                <w:lang w:val="bg-BG"/>
              </w:rPr>
              <w:t>а със запрашеност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D6E9B" w:rsidRPr="00703017" w:rsidRDefault="008D6E9B" w:rsidP="009D4C75">
            <w:pPr>
              <w:spacing w:before="60" w:after="60" w:line="240" w:lineRule="auto"/>
              <w:rPr>
                <w:rFonts w:ascii="Arial" w:hAnsi="Arial" w:cs="Arial"/>
                <w:sz w:val="20"/>
                <w:szCs w:val="20"/>
                <w:lang w:val="bg-BG" w:eastAsia="de-DE"/>
              </w:rPr>
            </w:pPr>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r w:rsidRPr="00703017">
              <w:rPr>
                <w:rFonts w:ascii="Arial" w:hAnsi="Arial" w:cs="Arial"/>
                <w:sz w:val="20"/>
                <w:szCs w:val="20"/>
                <w:lang w:val="bg-BG"/>
              </w:rPr>
              <w:t>:</w:t>
            </w:r>
            <w:r w:rsidRPr="00703017">
              <w:rPr>
                <w:rFonts w:ascii="Arial" w:hAnsi="Arial" w:cs="Arial"/>
                <w:sz w:val="20"/>
                <w:szCs w:val="20"/>
                <w:lang w:val="bg-BG"/>
              </w:rPr>
              <w:tab/>
              <w:t>1 mg/m³ (като вдишван прах)</w:t>
            </w:r>
          </w:p>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mg/m³.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r w:rsidR="008D6E9B" w:rsidRPr="00703017">
        <w:trPr>
          <w:trHeight w:val="315"/>
          <w:jc w:val="center"/>
        </w:trPr>
        <w:tc>
          <w:tcPr>
            <w:tcW w:w="0" w:type="auto"/>
            <w:gridSpan w:val="5"/>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w:t>
            </w:r>
          </w:p>
        </w:tc>
      </w:tr>
      <w:tr w:rsidR="008D6E9B" w:rsidRPr="00703017">
        <w:trPr>
          <w:trHeight w:val="1310"/>
          <w:jc w:val="center"/>
        </w:trPr>
        <w:tc>
          <w:tcPr>
            <w:tcW w:w="0" w:type="auto"/>
            <w:gridSpan w:val="5"/>
            <w:vAlign w:val="center"/>
          </w:tcPr>
          <w:p w:rsidR="008D6E9B" w:rsidRPr="00703017" w:rsidRDefault="008D6E9B"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sz w:val="16"/>
                <w:szCs w:val="16"/>
                <w:lang w:val="bg-BG"/>
              </w:rPr>
              <w:t>Ако даден обект не отговаря на условията, посочени в сценария за експозиция при безопасна употреба, препоръчва се да се приложи подход по редове за извършване на по-прецизна оценка. За извършване на такава оценка се препоръчва следния поетапен подход.</w:t>
            </w:r>
          </w:p>
          <w:p w:rsidR="008D6E9B" w:rsidRPr="0070774F" w:rsidRDefault="008D6E9B" w:rsidP="009D4C75">
            <w:pPr>
              <w:tabs>
                <w:tab w:val="left" w:pos="1701"/>
              </w:tabs>
              <w:spacing w:before="60" w:after="60" w:line="240" w:lineRule="auto"/>
              <w:rPr>
                <w:rFonts w:ascii="Arial" w:hAnsi="Arial" w:cs="Arial"/>
                <w:sz w:val="16"/>
                <w:szCs w:val="16"/>
                <w:lang w:val="bg-BG" w:eastAsia="de-DE"/>
              </w:rPr>
            </w:pPr>
            <w:r w:rsidRPr="0070774F">
              <w:rPr>
                <w:rFonts w:ascii="Arial" w:hAnsi="Arial" w:cs="Arial"/>
                <w:b/>
                <w:bCs/>
                <w:sz w:val="16"/>
                <w:szCs w:val="16"/>
                <w:lang w:val="bg-BG"/>
              </w:rPr>
              <w:t>Ред 1</w:t>
            </w:r>
            <w:r w:rsidRPr="0070774F">
              <w:rPr>
                <w:rFonts w:ascii="Arial" w:hAnsi="Arial" w:cs="Arial"/>
                <w:sz w:val="16"/>
                <w:szCs w:val="16"/>
                <w:lang w:val="bg-BG"/>
              </w:rPr>
              <w:t>: получете информация за pH на отпадните води и за приноса на CaO за този резултат. Ако pH е над 9 и основно се дължи на варта, наложителни са следващите действия за демонстриране на безопасна употреба.</w:t>
            </w:r>
          </w:p>
          <w:p w:rsidR="008D6E9B" w:rsidRPr="00703017" w:rsidRDefault="008D6E9B" w:rsidP="009D4C75">
            <w:pPr>
              <w:tabs>
                <w:tab w:val="left" w:pos="1701"/>
              </w:tabs>
              <w:spacing w:before="60" w:after="60" w:line="240" w:lineRule="auto"/>
              <w:rPr>
                <w:rFonts w:ascii="Arial" w:hAnsi="Arial" w:cs="Arial"/>
                <w:sz w:val="16"/>
                <w:szCs w:val="16"/>
                <w:lang w:val="bg-BG" w:eastAsia="de-DE"/>
              </w:rPr>
            </w:pPr>
            <w:r w:rsidRPr="0070774F">
              <w:rPr>
                <w:rFonts w:ascii="Arial" w:hAnsi="Arial" w:cs="Arial"/>
                <w:b/>
                <w:bCs/>
                <w:sz w:val="16"/>
                <w:szCs w:val="16"/>
                <w:lang w:val="bg-BG"/>
              </w:rPr>
              <w:t>Ред 2а</w:t>
            </w:r>
            <w:r w:rsidRPr="0070774F">
              <w:rPr>
                <w:rFonts w:ascii="Arial" w:hAnsi="Arial" w:cs="Arial"/>
                <w:sz w:val="16"/>
                <w:szCs w:val="16"/>
                <w:lang w:val="bg-BG"/>
              </w:rPr>
              <w:t>: получете информация за pH на приемащите води след точката на заустване</w:t>
            </w:r>
            <w:r w:rsidRPr="00703017">
              <w:rPr>
                <w:rFonts w:ascii="Arial" w:hAnsi="Arial" w:cs="Arial"/>
                <w:sz w:val="16"/>
                <w:szCs w:val="16"/>
                <w:lang w:val="bg-BG"/>
              </w:rPr>
              <w:t>. pH на приемащите води не трябва да надвишава 9. Ако няма налични измервания, pH в реката може да се изчисли по следния начин:</w:t>
            </w:r>
          </w:p>
          <w:p w:rsidR="008D6E9B" w:rsidRPr="00703017" w:rsidRDefault="001D5CEE" w:rsidP="009D4C75">
            <w:pPr>
              <w:tabs>
                <w:tab w:val="left" w:pos="1701"/>
              </w:tabs>
              <w:spacing w:before="60" w:after="60" w:line="240" w:lineRule="auto"/>
              <w:rPr>
                <w:rFonts w:ascii="Arial" w:hAnsi="Arial" w:cs="Arial"/>
                <w:position w:val="-30"/>
                <w:vertAlign w:val="subscript"/>
                <w:lang w:val="bg-BG"/>
              </w:rPr>
            </w:pPr>
            <w:r>
              <w:rPr>
                <w:rFonts w:ascii="Arial" w:hAnsi="Arial" w:cs="Arial"/>
                <w:noProof/>
                <w:sz w:val="16"/>
                <w:szCs w:val="16"/>
                <w:lang w:val="bg-BG" w:eastAsia="bg-BG"/>
              </w:rPr>
              <mc:AlternateContent>
                <mc:Choice Requires="wpc">
                  <w:drawing>
                    <wp:inline distT="0" distB="0" distL="0" distR="0">
                      <wp:extent cx="4159250" cy="814070"/>
                      <wp:effectExtent l="4445" t="1905" r="0" b="3175"/>
                      <wp:docPr id="108" name="Платно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3" name="Group 110"/>
                              <wpg:cNvGrpSpPr>
                                <a:grpSpLocks/>
                              </wpg:cNvGrpSpPr>
                              <wpg:grpSpPr bwMode="auto">
                                <a:xfrm>
                                  <a:off x="1188085" y="121285"/>
                                  <a:ext cx="2735580" cy="490220"/>
                                  <a:chOff x="60" y="-25"/>
                                  <a:chExt cx="4308" cy="772"/>
                                </a:xfrm>
                              </wpg:grpSpPr>
                              <wps:wsp>
                                <wps:cNvPr id="24" name="Rectangle 111"/>
                                <wps:cNvSpPr>
                                  <a:spLocks noChangeArrowheads="1"/>
                                </wps:cNvSpPr>
                                <wps:spPr bwMode="auto">
                                  <a:xfrm>
                                    <a:off x="60" y="208"/>
                                    <a:ext cx="81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i/>
                                          <w:iCs/>
                                          <w:color w:val="000000"/>
                                          <w:sz w:val="24"/>
                                          <w:szCs w:val="24"/>
                                          <w:lang w:val="en-US"/>
                                        </w:rPr>
                                        <w:t>pHriver</w:t>
                                      </w:r>
                                    </w:p>
                                  </w:txbxContent>
                                </wps:txbx>
                                <wps:bodyPr rot="0" vert="horz" wrap="none" lIns="0" tIns="0" rIns="0" bIns="0" anchor="t" anchorCtr="0" upright="1">
                                  <a:spAutoFit/>
                                </wps:bodyPr>
                              </wps:wsp>
                              <wps:wsp>
                                <wps:cNvPr id="25" name="Rectangle 112"/>
                                <wps:cNvSpPr>
                                  <a:spLocks noChangeArrowheads="1"/>
                                </wps:cNvSpPr>
                                <wps:spPr bwMode="auto">
                                  <a:xfrm>
                                    <a:off x="876" y="180"/>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26" name="Rectangle 113"/>
                                <wps:cNvSpPr>
                                  <a:spLocks noChangeArrowheads="1"/>
                                </wps:cNvSpPr>
                                <wps:spPr bwMode="auto">
                                  <a:xfrm>
                                    <a:off x="1067" y="208"/>
                                    <a:ext cx="43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i/>
                                          <w:iCs/>
                                          <w:color w:val="000000"/>
                                          <w:sz w:val="24"/>
                                          <w:szCs w:val="24"/>
                                          <w:lang w:val="en-US"/>
                                        </w:rPr>
                                        <w:t>Log</w:t>
                                      </w:r>
                                    </w:p>
                                  </w:txbxContent>
                                </wps:txbx>
                                <wps:bodyPr rot="0" vert="horz" wrap="none" lIns="0" tIns="0" rIns="0" bIns="0" anchor="t" anchorCtr="0" upright="1">
                                  <a:spAutoFit/>
                                </wps:bodyPr>
                              </wps:wsp>
                              <wps:wsp>
                                <wps:cNvPr id="27" name="Rectangle 114"/>
                                <wps:cNvSpPr>
                                  <a:spLocks noChangeArrowheads="1"/>
                                </wps:cNvSpPr>
                                <wps:spPr bwMode="auto">
                                  <a:xfrm>
                                    <a:off x="1527" y="56"/>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D6160C"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wps:txbx>
                                <wps:bodyPr rot="0" vert="horz" wrap="none" lIns="0" tIns="0" rIns="0" bIns="0" anchor="t" anchorCtr="0" upright="1">
                                  <a:noAutofit/>
                                </wps:bodyPr>
                              </wps:wsp>
                              <wps:wsp>
                                <wps:cNvPr id="28" name="Rectangle 115"/>
                                <wps:cNvSpPr>
                                  <a:spLocks noChangeArrowheads="1"/>
                                </wps:cNvSpPr>
                                <wps:spPr bwMode="auto">
                                  <a:xfrm>
                                    <a:off x="2104"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color w:val="000000"/>
                                          <w:sz w:val="24"/>
                                          <w:szCs w:val="24"/>
                                          <w:lang w:val="en-US"/>
                                        </w:rPr>
                                        <w:t>*</w:t>
                                      </w:r>
                                    </w:p>
                                  </w:txbxContent>
                                </wps:txbx>
                                <wps:bodyPr rot="0" vert="horz" wrap="none" lIns="0" tIns="0" rIns="0" bIns="0" anchor="t" anchorCtr="0" upright="1">
                                  <a:spAutoFit/>
                                </wps:bodyPr>
                              </wps:wsp>
                              <wps:wsp>
                                <wps:cNvPr id="29" name="Rectangle 116"/>
                                <wps:cNvSpPr>
                                  <a:spLocks noChangeArrowheads="1"/>
                                </wps:cNvSpPr>
                                <wps:spPr bwMode="auto">
                                  <a:xfrm>
                                    <a:off x="2234"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color w:val="000000"/>
                                          <w:sz w:val="24"/>
                                          <w:szCs w:val="24"/>
                                          <w:lang w:val="en-US"/>
                                        </w:rPr>
                                        <w:t>10</w:t>
                                      </w:r>
                                    </w:p>
                                  </w:txbxContent>
                                </wps:txbx>
                                <wps:bodyPr rot="0" vert="horz" wrap="none" lIns="0" tIns="0" rIns="0" bIns="0" anchor="t" anchorCtr="0" upright="1">
                                  <a:spAutoFit/>
                                </wps:bodyPr>
                              </wps:wsp>
                              <wps:wsp>
                                <wps:cNvPr id="30" name="Rectangle 117"/>
                                <wps:cNvSpPr>
                                  <a:spLocks noChangeArrowheads="1"/>
                                </wps:cNvSpPr>
                                <wps:spPr bwMode="auto">
                                  <a:xfrm>
                                    <a:off x="2494" y="38"/>
                                    <a:ext cx="405"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
                                  </w:txbxContent>
                                </wps:txbx>
                                <wps:bodyPr rot="0" vert="horz" wrap="none" lIns="0" tIns="0" rIns="0" bIns="0" anchor="t" anchorCtr="0" upright="1">
                                  <a:spAutoFit/>
                                </wps:bodyPr>
                              </wps:wsp>
                              <wps:wsp>
                                <wps:cNvPr id="31" name="Rectangle 118"/>
                                <wps:cNvSpPr>
                                  <a:spLocks noChangeArrowheads="1"/>
                                </wps:cNvSpPr>
                                <wps:spPr bwMode="auto">
                                  <a:xfrm>
                                    <a:off x="2895" y="28"/>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32" name="Rectangle 119"/>
                                <wps:cNvSpPr>
                                  <a:spLocks noChangeArrowheads="1"/>
                                </wps:cNvSpPr>
                                <wps:spPr bwMode="auto">
                                  <a:xfrm>
                                    <a:off x="3102" y="49"/>
                                    <a:ext cx="47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E03A8E"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wps:txbx>
                                <wps:bodyPr rot="0" vert="horz" wrap="none" lIns="0" tIns="0" rIns="0" bIns="0" anchor="t" anchorCtr="0" upright="1">
                                  <a:spAutoFit/>
                                </wps:bodyPr>
                              </wps:wsp>
                              <wps:wsp>
                                <wps:cNvPr id="33" name="Rectangle 120"/>
                                <wps:cNvSpPr>
                                  <a:spLocks noChangeArrowheads="1"/>
                                </wps:cNvSpPr>
                                <wps:spPr bwMode="auto">
                                  <a:xfrm>
                                    <a:off x="3536"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color w:val="000000"/>
                                          <w:sz w:val="24"/>
                                          <w:szCs w:val="24"/>
                                          <w:lang w:val="en-US"/>
                                        </w:rPr>
                                        <w:t>*</w:t>
                                      </w:r>
                                    </w:p>
                                  </w:txbxContent>
                                </wps:txbx>
                                <wps:bodyPr rot="0" vert="horz" wrap="none" lIns="0" tIns="0" rIns="0" bIns="0" anchor="t" anchorCtr="0" upright="1">
                                  <a:spAutoFit/>
                                </wps:bodyPr>
                              </wps:wsp>
                              <wps:wsp>
                                <wps:cNvPr id="34" name="Rectangle 121"/>
                                <wps:cNvSpPr>
                                  <a:spLocks noChangeArrowheads="1"/>
                                </wps:cNvSpPr>
                                <wps:spPr bwMode="auto">
                                  <a:xfrm>
                                    <a:off x="3656"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Times" w:hAnsi="Times" w:cs="Times"/>
                                          <w:color w:val="000000"/>
                                          <w:sz w:val="24"/>
                                          <w:szCs w:val="24"/>
                                          <w:lang w:val="en-US"/>
                                        </w:rPr>
                                        <w:t>10</w:t>
                                      </w:r>
                                    </w:p>
                                  </w:txbxContent>
                                </wps:txbx>
                                <wps:bodyPr rot="0" vert="horz" wrap="none" lIns="0" tIns="0" rIns="0" bIns="0" anchor="t" anchorCtr="0" upright="1">
                                  <a:spAutoFit/>
                                </wps:bodyPr>
                              </wps:wsp>
                              <wps:wsp>
                                <wps:cNvPr id="35" name="Rectangle 122"/>
                                <wps:cNvSpPr>
                                  <a:spLocks noChangeArrowheads="1"/>
                                </wps:cNvSpPr>
                                <wps:spPr bwMode="auto">
                                  <a:xfrm>
                                    <a:off x="3916" y="38"/>
                                    <a:ext cx="34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E03A8E" w:rsidRDefault="00AB5450" w:rsidP="00B338DD">
                                      <w:pPr>
                                        <w:rPr>
                                          <w:rFonts w:ascii="Times" w:hAnsi="Times" w:cs="Times"/>
                                          <w:i/>
                                          <w:iCs/>
                                          <w:color w:val="000000"/>
                                          <w:sz w:val="14"/>
                                          <w:szCs w:val="14"/>
                                          <w:lang w:val="en-US"/>
                                        </w:rPr>
                                      </w:pPr>
                                      <w:r>
                                        <w:rPr>
                                          <w:rFonts w:ascii="Times" w:hAnsi="Times" w:cs="Times"/>
                                          <w:i/>
                                          <w:iCs/>
                                          <w:color w:val="000000"/>
                                          <w:sz w:val="14"/>
                                          <w:szCs w:val="14"/>
                                          <w:lang w:val="en-US"/>
                                        </w:rPr>
                                        <w:t>pH</w:t>
                                      </w:r>
                                      <w:r w:rsidRPr="00E03A8E">
                                        <w:rPr>
                                          <w:rFonts w:ascii="Times" w:hAnsi="Times" w:cs="Times"/>
                                          <w:i/>
                                          <w:iCs/>
                                          <w:color w:val="000000"/>
                                          <w:sz w:val="14"/>
                                          <w:szCs w:val="14"/>
                                          <w:lang w:val="en-US"/>
                                        </w:rPr>
                                        <w:t>_р</w:t>
                                      </w:r>
                                    </w:p>
                                  </w:txbxContent>
                                </wps:txbx>
                                <wps:bodyPr rot="0" vert="horz" wrap="none" lIns="0" tIns="0" rIns="0" bIns="0" anchor="t" anchorCtr="0" upright="1">
                                  <a:spAutoFit/>
                                </wps:bodyPr>
                              </wps:wsp>
                              <wps:wsp>
                                <wps:cNvPr id="36" name="Rectangle 123"/>
                                <wps:cNvSpPr>
                                  <a:spLocks noChangeArrowheads="1"/>
                                </wps:cNvSpPr>
                                <wps:spPr bwMode="auto">
                                  <a:xfrm>
                                    <a:off x="2719" y="367"/>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37" name="Line 124"/>
                                <wps:cNvCnPr>
                                  <a:cxnSpLocks noChangeShapeType="1"/>
                                </wps:cNvCnPr>
                                <wps:spPr bwMode="auto">
                                  <a:xfrm>
                                    <a:off x="1517" y="365"/>
                                    <a:ext cx="2711" cy="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125"/>
                                <wps:cNvSpPr>
                                  <a:spLocks noChangeArrowheads="1"/>
                                </wps:cNvSpPr>
                                <wps:spPr bwMode="auto">
                                  <a:xfrm>
                                    <a:off x="1427"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39" name="Rectangle 126"/>
                                <wps:cNvSpPr>
                                  <a:spLocks noChangeArrowheads="1"/>
                                </wps:cNvSpPr>
                                <wps:spPr bwMode="auto">
                                  <a:xfrm>
                                    <a:off x="1427"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40" name="Rectangle 127"/>
                                <wps:cNvSpPr>
                                  <a:spLocks noChangeArrowheads="1"/>
                                </wps:cNvSpPr>
                                <wps:spPr bwMode="auto">
                                  <a:xfrm>
                                    <a:off x="1427"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41" name="Rectangle 128"/>
                                <wps:cNvSpPr>
                                  <a:spLocks noChangeArrowheads="1"/>
                                </wps:cNvSpPr>
                                <wps:spPr bwMode="auto">
                                  <a:xfrm>
                                    <a:off x="4215"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42" name="Rectangle 129"/>
                                <wps:cNvSpPr>
                                  <a:spLocks noChangeArrowheads="1"/>
                                </wps:cNvSpPr>
                                <wps:spPr bwMode="auto">
                                  <a:xfrm>
                                    <a:off x="4215"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43" name="Rectangle 130"/>
                                <wps:cNvSpPr>
                                  <a:spLocks noChangeArrowheads="1"/>
                                </wps:cNvSpPr>
                                <wps:spPr bwMode="auto">
                                  <a:xfrm>
                                    <a:off x="4215"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44" name="Rectangle 131"/>
                                <wps:cNvSpPr>
                                  <a:spLocks noChangeArrowheads="1"/>
                                </wps:cNvSpPr>
                                <wps:spPr bwMode="auto">
                                  <a:xfrm>
                                    <a:off x="2941" y="380"/>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D6160C"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wps:txbx>
                                <wps:bodyPr rot="0" vert="horz" wrap="none" lIns="0" tIns="0" rIns="0" bIns="0" anchor="t" anchorCtr="0" upright="1">
                                  <a:noAutofit/>
                                </wps:bodyPr>
                              </wps:wsp>
                              <wps:wsp>
                                <wps:cNvPr id="45" name="Rectangle 132"/>
                                <wps:cNvSpPr>
                                  <a:spLocks noChangeArrowheads="1"/>
                                </wps:cNvSpPr>
                                <wps:spPr bwMode="auto">
                                  <a:xfrm>
                                    <a:off x="2212" y="379"/>
                                    <a:ext cx="47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50" w:rsidRPr="00E03A8E"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wps:txbx>
                                <wps:bodyPr rot="0" vert="horz" wrap="none" lIns="0" tIns="0" rIns="0" bIns="0" anchor="t" anchorCtr="0" upright="1">
                                  <a:noAutofit/>
                                </wps:bodyPr>
                              </wps:wsp>
                            </wpg:wgp>
                          </wpc:wpc>
                        </a:graphicData>
                      </a:graphic>
                    </wp:inline>
                  </w:drawing>
                </mc:Choice>
                <mc:Fallback>
                  <w:pict>
                    <v:group id="Платно 108" o:spid="_x0000_s1126" editas="canvas" style="width:327.5pt;height:64.1pt;mso-position-horizontal-relative:char;mso-position-vertical-relative:line" coordsize="41592,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">
                      <v:shape id="_x0000_s1127" type="#_x0000_t75" style="position:absolute;width:41592;height:8140;visibility:visible;mso-wrap-style:square">
                        <v:fill o:detectmouseclick="t"/>
                        <v:path o:connecttype="none"/>
                      </v:shape>
                      <v:group id="Group 110" o:spid="_x0000_s1128" style="position:absolute;left:11880;top:1212;width:27356;height:4903" coordorigin="60,-25" coordsize="430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111" o:spid="_x0000_s1129" style="position:absolute;left:60;top:208;width:816;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B5450" w:rsidRDefault="00AB5450" w:rsidP="00B338DD">
                                <w:r>
                                  <w:rPr>
                                    <w:rFonts w:ascii="Times" w:hAnsi="Times" w:cs="Times"/>
                                    <w:i/>
                                    <w:iCs/>
                                    <w:color w:val="000000"/>
                                    <w:sz w:val="24"/>
                                    <w:szCs w:val="24"/>
                                    <w:lang w:val="en-US"/>
                                  </w:rPr>
                                  <w:t>pHriver</w:t>
                                </w:r>
                              </w:p>
                            </w:txbxContent>
                          </v:textbox>
                        </v:rect>
                        <v:rect id="Rectangle 112" o:spid="_x0000_s1130" style="position:absolute;left:876;top:180;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B5450" w:rsidRDefault="00AB5450" w:rsidP="00B338DD">
                                <w:r>
                                  <w:rPr>
                                    <w:rFonts w:ascii="Symbol" w:hAnsi="Symbol" w:cs="Symbol"/>
                                    <w:color w:val="000000"/>
                                    <w:sz w:val="24"/>
                                    <w:szCs w:val="24"/>
                                    <w:lang w:val="en-US"/>
                                  </w:rPr>
                                  <w:t></w:t>
                                </w:r>
                              </w:p>
                            </w:txbxContent>
                          </v:textbox>
                        </v:rect>
                        <v:rect id="Rectangle 113" o:spid="_x0000_s1131" style="position:absolute;left:1067;top:208;width:43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B5450" w:rsidRDefault="00AB5450" w:rsidP="00B338DD">
                                <w:r>
                                  <w:rPr>
                                    <w:rFonts w:ascii="Times" w:hAnsi="Times" w:cs="Times"/>
                                    <w:i/>
                                    <w:iCs/>
                                    <w:color w:val="000000"/>
                                    <w:sz w:val="24"/>
                                    <w:szCs w:val="24"/>
                                    <w:lang w:val="en-US"/>
                                  </w:rPr>
                                  <w:t>Log</w:t>
                                </w:r>
                              </w:p>
                            </w:txbxContent>
                          </v:textbox>
                        </v:rect>
                        <v:rect id="Rectangle 114" o:spid="_x0000_s1132" style="position:absolute;left:1527;top:56;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lq8QA&#10;AADbAAAADwAAAGRycy9kb3ducmV2LnhtbESPzWrDMBCE74W8g9hAb43sUPLjRDZJoaQUckjaB1is&#10;jeXWWjmSmrhvXxUCOQ4z8w2zrgbbiQv50DpWkE8yEMS10y03Cj4/Xp8WIEJE1tg5JgW/FKAqRw9r&#10;LLS78oEux9iIBOFQoAITY19IGWpDFsPE9cTJOzlvMSbpG6k9XhPcdnKaZTNpseW0YLCnF0P19/HH&#10;KqDt7rD82gSzlz4P+f59tnzenZV6HA+bFYhIQ7yHb+03rWA6h/8v6Qf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pavEAAAA2wAAAA8AAAAAAAAAAAAAAAAAmAIAAGRycy9k&#10;b3ducmV2LnhtbFBLBQYAAAAABAAEAPUAAACJAwAAAAA=&#10;" filled="f" stroked="f">
                          <v:textbox inset="0,0,0,0">
                            <w:txbxContent>
                              <w:p w:rsidR="00AB5450" w:rsidRPr="00D6160C"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115" o:spid="_x0000_s1133" style="position:absolute;left:2104;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B5450" w:rsidRDefault="00AB5450" w:rsidP="00B338DD">
                                <w:r>
                                  <w:rPr>
                                    <w:rFonts w:ascii="Times" w:hAnsi="Times" w:cs="Times"/>
                                    <w:color w:val="000000"/>
                                    <w:sz w:val="24"/>
                                    <w:szCs w:val="24"/>
                                    <w:lang w:val="en-US"/>
                                  </w:rPr>
                                  <w:t>*</w:t>
                                </w:r>
                              </w:p>
                            </w:txbxContent>
                          </v:textbox>
                        </v:rect>
                        <v:rect id="Rectangle 116" o:spid="_x0000_s1134" style="position:absolute;left:2234;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B5450" w:rsidRDefault="00AB5450" w:rsidP="00B338DD">
                                <w:r>
                                  <w:rPr>
                                    <w:rFonts w:ascii="Times" w:hAnsi="Times" w:cs="Times"/>
                                    <w:color w:val="000000"/>
                                    <w:sz w:val="24"/>
                                    <w:szCs w:val="24"/>
                                    <w:lang w:val="en-US"/>
                                  </w:rPr>
                                  <w:t>10</w:t>
                                </w:r>
                              </w:p>
                            </w:txbxContent>
                          </v:textbox>
                        </v:rect>
                        <v:rect id="Rectangle 117" o:spid="_x0000_s1135" style="position:absolute;left:2494;top:38;width:405;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B5450" w:rsidRDefault="00AB5450" w:rsidP="00B338DD">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
                            </w:txbxContent>
                          </v:textbox>
                        </v:rect>
                        <v:rect id="Rectangle 118" o:spid="_x0000_s1136" style="position:absolute;left:2895;top:28;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B5450" w:rsidRDefault="00AB5450" w:rsidP="00B338DD">
                                <w:r>
                                  <w:rPr>
                                    <w:rFonts w:ascii="Symbol" w:hAnsi="Symbol" w:cs="Symbol"/>
                                    <w:color w:val="000000"/>
                                    <w:sz w:val="24"/>
                                    <w:szCs w:val="24"/>
                                    <w:lang w:val="en-US"/>
                                  </w:rPr>
                                  <w:t></w:t>
                                </w:r>
                              </w:p>
                            </w:txbxContent>
                          </v:textbox>
                        </v:rect>
                        <v:rect id="Rectangle 119" o:spid="_x0000_s1137" style="position:absolute;left:3102;top:49;width:47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B5450" w:rsidRPr="00E03A8E"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rect id="Rectangle 120" o:spid="_x0000_s1138" style="position:absolute;left:3536;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B5450" w:rsidRDefault="00AB5450" w:rsidP="00B338DD">
                                <w:r>
                                  <w:rPr>
                                    <w:rFonts w:ascii="Times" w:hAnsi="Times" w:cs="Times"/>
                                    <w:color w:val="000000"/>
                                    <w:sz w:val="24"/>
                                    <w:szCs w:val="24"/>
                                    <w:lang w:val="en-US"/>
                                  </w:rPr>
                                  <w:t>*</w:t>
                                </w:r>
                              </w:p>
                            </w:txbxContent>
                          </v:textbox>
                        </v:rect>
                        <v:rect id="Rectangle 121" o:spid="_x0000_s1139" style="position:absolute;left:3656;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AB5450" w:rsidRDefault="00AB5450" w:rsidP="00B338DD">
                                <w:r>
                                  <w:rPr>
                                    <w:rFonts w:ascii="Times" w:hAnsi="Times" w:cs="Times"/>
                                    <w:color w:val="000000"/>
                                    <w:sz w:val="24"/>
                                    <w:szCs w:val="24"/>
                                    <w:lang w:val="en-US"/>
                                  </w:rPr>
                                  <w:t>10</w:t>
                                </w:r>
                              </w:p>
                            </w:txbxContent>
                          </v:textbox>
                        </v:rect>
                        <v:rect id="Rectangle 122" o:spid="_x0000_s1140" style="position:absolute;left:3916;top:38;width:344;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AB5450" w:rsidRPr="00E03A8E" w:rsidRDefault="00AB5450" w:rsidP="00B338DD">
                                <w:pPr>
                                  <w:rPr>
                                    <w:rFonts w:ascii="Times" w:hAnsi="Times" w:cs="Times"/>
                                    <w:i/>
                                    <w:iCs/>
                                    <w:color w:val="000000"/>
                                    <w:sz w:val="14"/>
                                    <w:szCs w:val="14"/>
                                    <w:lang w:val="en-US"/>
                                  </w:rPr>
                                </w:pPr>
                                <w:r>
                                  <w:rPr>
                                    <w:rFonts w:ascii="Times" w:hAnsi="Times" w:cs="Times"/>
                                    <w:i/>
                                    <w:iCs/>
                                    <w:color w:val="000000"/>
                                    <w:sz w:val="14"/>
                                    <w:szCs w:val="14"/>
                                    <w:lang w:val="en-US"/>
                                  </w:rPr>
                                  <w:t>pH</w:t>
                                </w:r>
                                <w:r w:rsidRPr="00E03A8E">
                                  <w:rPr>
                                    <w:rFonts w:ascii="Times" w:hAnsi="Times" w:cs="Times"/>
                                    <w:i/>
                                    <w:iCs/>
                                    <w:color w:val="000000"/>
                                    <w:sz w:val="14"/>
                                    <w:szCs w:val="14"/>
                                    <w:lang w:val="en-US"/>
                                  </w:rPr>
                                  <w:t>_р</w:t>
                                </w:r>
                              </w:p>
                            </w:txbxContent>
                          </v:textbox>
                        </v:rect>
                        <v:rect id="Rectangle 123" o:spid="_x0000_s1141" style="position:absolute;left:2719;top:367;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AB5450" w:rsidRDefault="00AB5450" w:rsidP="00B338DD">
                                <w:r>
                                  <w:rPr>
                                    <w:rFonts w:ascii="Symbol" w:hAnsi="Symbol" w:cs="Symbol"/>
                                    <w:color w:val="000000"/>
                                    <w:sz w:val="24"/>
                                    <w:szCs w:val="24"/>
                                    <w:lang w:val="en-US"/>
                                  </w:rPr>
                                  <w:t></w:t>
                                </w:r>
                              </w:p>
                            </w:txbxContent>
                          </v:textbox>
                        </v:rect>
                        <v:line id="Line 124" o:spid="_x0000_s1142" style="position:absolute;visibility:visible;mso-wrap-style:square" from="1517,365" to="422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nnMMAAADbAAAADwAAAGRycy9kb3ducmV2LnhtbESPQWvCQBSE7wX/w/KE3urGFlSiq4i0&#10;ND2a5OLtmX0mwezbsLvV1F/fFQSPw8x8w6w2g+nEhZxvLSuYThIQxJXVLdcKyuLrbQHCB2SNnWVS&#10;8EceNuvRywpTba+8p0seahEh7FNU0ITQp1L6qiGDfmJ74uidrDMYonS11A6vEW46+Z4kM2mw5bjQ&#10;YE+7hqpz/msU3LLiszxk3/tjeTsUPzb3bn5aKPU6HrZLEIGG8Aw/2plW8DGH+5f4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3J5zDAAAA2wAAAA8AAAAAAAAAAAAA&#10;AAAAoQIAAGRycy9kb3ducmV2LnhtbFBLBQYAAAAABAAEAPkAAACRAwAAAAA=&#10;" strokeweight="28e-5mm"/>
                        <v:rect id="Rectangle 125" o:spid="_x0000_s1143" style="position:absolute;left:1427;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26" o:spid="_x0000_s1144" style="position:absolute;left:1427;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27" o:spid="_x0000_s1145" style="position:absolute;left:1427;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28" o:spid="_x0000_s1146" style="position:absolute;left:4215;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29" o:spid="_x0000_s1147" style="position:absolute;left:4215;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30" o:spid="_x0000_s1148" style="position:absolute;left:4215;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AB5450" w:rsidRDefault="00AB5450"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31" o:spid="_x0000_s1149" style="position:absolute;left:2941;top:380;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fMMA&#10;AADbAAAADwAAAGRycy9kb3ducmV2LnhtbESP3WoCMRSE7wXfIZyCd5rdskhdjaKFoghe+PMAh83p&#10;ZtvNyTaJur69KRR6OczMN8xi1dtW3MiHxrGCfJKBIK6cbrhWcDl/jN9AhIissXVMCh4UYLUcDhZY&#10;anfnI91OsRYJwqFEBSbGrpQyVIYshonriJP36bzFmKSvpfZ4T3Dbytcsm0qLDacFgx29G6q+T1er&#10;gDbb4+xrHcxB+jzkh/10Vmx/lBq99Os5iEh9/A//tXdaQVHA75f0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efMMAAADbAAAADwAAAAAAAAAAAAAAAACYAgAAZHJzL2Rv&#10;d25yZXYueG1sUEsFBgAAAAAEAAQA9QAAAIgDAAAAAA==&#10;" filled="f" stroked="f">
                          <v:textbox inset="0,0,0,0">
                            <w:txbxContent>
                              <w:p w:rsidR="00AB5450" w:rsidRPr="00D6160C"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132" o:spid="_x0000_s1150" style="position:absolute;left:2212;top:379;width:470;height:3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758MA&#10;AADbAAAADwAAAGRycy9kb3ducmV2LnhtbESP3WoCMRSE7wu+QzhC72p2i0pdjaIFUQpe+PMAh81x&#10;s7o5WZOo27dvCoVeDjPzDTNbdLYRD/KhdqwgH2QgiEuna64UnI7rtw8QISJrbByTgm8KsJj3XmZY&#10;aPfkPT0OsRIJwqFABSbGtpAylIYshoFriZN3dt5iTNJXUnt8Jrht5HuWjaXFmtOCwZY+DZXXw90q&#10;oNVmP7ksg9lJn4d89zWeDDc3pV773XIKIlIX/8N/7a1WMBz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N758MAAADbAAAADwAAAAAAAAAAAAAAAACYAgAAZHJzL2Rv&#10;d25yZXYueG1sUEsFBgAAAAAEAAQA9QAAAIgDAAAAAA==&#10;" filled="f" stroked="f">
                          <v:textbox inset="0,0,0,0">
                            <w:txbxContent>
                              <w:p w:rsidR="00AB5450" w:rsidRPr="00E03A8E" w:rsidRDefault="00AB5450"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group>
                      <w10:anchorlock/>
                    </v:group>
                  </w:pict>
                </mc:Fallback>
              </mc:AlternateContent>
            </w:r>
            <w:r w:rsidR="008D6E9B" w:rsidRPr="00703017">
              <w:rPr>
                <w:rFonts w:ascii="Times New Roman" w:hAnsi="Times New Roman" w:cs="Times New Roman"/>
                <w:i/>
                <w:iCs/>
                <w:position w:val="-48"/>
                <w:lang w:val="bg-BG"/>
              </w:rPr>
              <w:t>(Eq 1)</w:t>
            </w:r>
          </w:p>
          <w:p w:rsidR="008D6E9B" w:rsidRPr="00703017" w:rsidRDefault="008D6E9B" w:rsidP="009D4C75">
            <w:pPr>
              <w:tabs>
                <w:tab w:val="left" w:pos="1701"/>
              </w:tabs>
              <w:spacing w:before="60" w:after="60" w:line="240" w:lineRule="auto"/>
              <w:ind w:left="720"/>
              <w:rPr>
                <w:rFonts w:ascii="Arial" w:hAnsi="Arial" w:cs="Arial"/>
                <w:sz w:val="16"/>
                <w:szCs w:val="16"/>
                <w:lang w:val="bg-BG" w:eastAsia="de-DE"/>
              </w:rPr>
            </w:pPr>
            <w:r w:rsidRPr="00703017">
              <w:rPr>
                <w:rFonts w:ascii="Arial" w:hAnsi="Arial" w:cs="Arial"/>
                <w:sz w:val="16"/>
                <w:szCs w:val="16"/>
                <w:lang w:val="bg-BG"/>
              </w:rPr>
              <w:t>Където:</w:t>
            </w:r>
          </w:p>
          <w:p w:rsidR="008D6E9B" w:rsidRPr="00703017" w:rsidRDefault="008D6E9B" w:rsidP="009D4C75">
            <w:pPr>
              <w:tabs>
                <w:tab w:val="left" w:pos="1701"/>
              </w:tabs>
              <w:spacing w:before="60" w:after="60" w:line="240" w:lineRule="auto"/>
              <w:ind w:left="720"/>
              <w:rPr>
                <w:rFonts w:ascii="Arial" w:hAnsi="Arial" w:cs="Arial"/>
                <w:sz w:val="16"/>
                <w:szCs w:val="16"/>
                <w:lang w:val="bg-BG" w:eastAsia="de-DE"/>
              </w:rPr>
            </w:pPr>
            <w:r w:rsidRPr="00703017">
              <w:rPr>
                <w:rFonts w:ascii="Arial" w:hAnsi="Arial" w:cs="Arial"/>
                <w:sz w:val="16"/>
                <w:szCs w:val="16"/>
                <w:lang w:val="bg-BG"/>
              </w:rPr>
              <w:t>Q_ов се отнася до отпадния поток (в m³/ден)</w:t>
            </w:r>
          </w:p>
          <w:p w:rsidR="008D6E9B" w:rsidRPr="00703017" w:rsidRDefault="008D6E9B" w:rsidP="009D4C75">
            <w:pPr>
              <w:tabs>
                <w:tab w:val="left" w:pos="1701"/>
              </w:tabs>
              <w:spacing w:before="60" w:after="60" w:line="240" w:lineRule="auto"/>
              <w:ind w:left="720"/>
              <w:rPr>
                <w:rFonts w:ascii="Arial" w:hAnsi="Arial" w:cs="Arial"/>
                <w:sz w:val="16"/>
                <w:szCs w:val="16"/>
                <w:lang w:val="bg-BG" w:eastAsia="de-DE"/>
              </w:rPr>
            </w:pPr>
            <w:r w:rsidRPr="00703017">
              <w:rPr>
                <w:rFonts w:ascii="Arial" w:hAnsi="Arial" w:cs="Arial"/>
                <w:sz w:val="16"/>
                <w:szCs w:val="16"/>
                <w:lang w:val="bg-BG"/>
              </w:rPr>
              <w:t>Q_р се отнася до поток на реката нагоре по течението(в m³/ден)</w:t>
            </w:r>
          </w:p>
          <w:p w:rsidR="008D6E9B" w:rsidRPr="00703017" w:rsidRDefault="008D6E9B" w:rsidP="009D4C75">
            <w:pPr>
              <w:tabs>
                <w:tab w:val="left" w:pos="1701"/>
              </w:tabs>
              <w:spacing w:before="60" w:after="60" w:line="240" w:lineRule="auto"/>
              <w:ind w:left="720"/>
              <w:rPr>
                <w:rFonts w:ascii="Arial" w:hAnsi="Arial" w:cs="Arial"/>
                <w:sz w:val="16"/>
                <w:szCs w:val="16"/>
                <w:lang w:val="bg-BG" w:eastAsia="de-DE"/>
              </w:rPr>
            </w:pPr>
            <w:r w:rsidRPr="00703017">
              <w:rPr>
                <w:rFonts w:ascii="Arial" w:hAnsi="Arial" w:cs="Arial"/>
                <w:sz w:val="16"/>
                <w:szCs w:val="16"/>
                <w:lang w:val="bg-BG"/>
              </w:rPr>
              <w:t>pH_ов се отнася до pH на отпадните води</w:t>
            </w:r>
          </w:p>
          <w:p w:rsidR="008D6E9B" w:rsidRPr="00703017" w:rsidRDefault="008D6E9B" w:rsidP="009D4C75">
            <w:pPr>
              <w:tabs>
                <w:tab w:val="left" w:pos="1701"/>
              </w:tabs>
              <w:spacing w:before="60" w:after="60" w:line="240" w:lineRule="auto"/>
              <w:ind w:left="720"/>
              <w:rPr>
                <w:rFonts w:ascii="Arial" w:hAnsi="Arial" w:cs="Arial"/>
                <w:sz w:val="16"/>
                <w:szCs w:val="16"/>
                <w:lang w:val="bg-BG" w:eastAsia="de-DE"/>
              </w:rPr>
            </w:pPr>
            <w:r w:rsidRPr="00703017">
              <w:rPr>
                <w:rFonts w:ascii="Arial" w:hAnsi="Arial" w:cs="Arial"/>
                <w:sz w:val="16"/>
                <w:szCs w:val="16"/>
                <w:lang w:val="bg-BG"/>
              </w:rPr>
              <w:t>pH_р се отнася до pH на реката, нагоре по течението от точката на заустване</w:t>
            </w:r>
          </w:p>
          <w:p w:rsidR="008D6E9B" w:rsidRPr="00703017" w:rsidRDefault="008D6E9B" w:rsidP="009D4C75">
            <w:pPr>
              <w:tabs>
                <w:tab w:val="left" w:pos="1701"/>
              </w:tabs>
              <w:spacing w:before="60" w:after="60" w:line="240" w:lineRule="auto"/>
              <w:ind w:left="720"/>
              <w:rPr>
                <w:rFonts w:ascii="Arial" w:hAnsi="Arial" w:cs="Arial"/>
                <w:sz w:val="16"/>
                <w:szCs w:val="16"/>
                <w:lang w:val="bg-BG" w:eastAsia="de-DE"/>
              </w:rPr>
            </w:pPr>
            <w:r w:rsidRPr="00703017">
              <w:rPr>
                <w:rFonts w:ascii="Arial" w:hAnsi="Arial" w:cs="Arial"/>
                <w:sz w:val="16"/>
                <w:szCs w:val="16"/>
                <w:lang w:val="bg-BG"/>
              </w:rPr>
              <w:t>Моля обърнете внимание, че първоначално могат да се използват стойности по презумпция:</w:t>
            </w:r>
          </w:p>
          <w:p w:rsidR="008D6E9B" w:rsidRPr="00703017" w:rsidRDefault="008D6E9B"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3017">
              <w:rPr>
                <w:rFonts w:ascii="Arial" w:hAnsi="Arial" w:cs="Arial"/>
                <w:sz w:val="16"/>
                <w:szCs w:val="16"/>
                <w:lang w:val="bg-BG"/>
              </w:rPr>
              <w:t>Q-р нагоре по течението: използвайте 1/10 от дистрибуцията по съществуващите измервания или по презумпция стойността 18</w:t>
            </w:r>
            <w:r w:rsidRPr="006F7911">
              <w:rPr>
                <w:rFonts w:ascii="Arial" w:hAnsi="Arial" w:cs="Arial"/>
                <w:sz w:val="16"/>
                <w:szCs w:val="16"/>
                <w:lang w:val="bg-BG"/>
              </w:rPr>
              <w:t xml:space="preserve"> </w:t>
            </w:r>
            <w:r w:rsidRPr="00703017">
              <w:rPr>
                <w:rFonts w:ascii="Arial" w:hAnsi="Arial" w:cs="Arial"/>
                <w:sz w:val="16"/>
                <w:szCs w:val="16"/>
                <w:lang w:val="bg-BG"/>
              </w:rPr>
              <w:t>000 m³/ден</w:t>
            </w:r>
          </w:p>
          <w:p w:rsidR="008D6E9B" w:rsidRPr="00703017" w:rsidRDefault="008D6E9B"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3017">
              <w:rPr>
                <w:rFonts w:ascii="Arial" w:hAnsi="Arial" w:cs="Arial"/>
                <w:sz w:val="16"/>
                <w:szCs w:val="16"/>
                <w:lang w:val="bg-BG"/>
              </w:rPr>
              <w:t>Q_ов: използвайте по презумпция стойността 2000 m³/ден</w:t>
            </w:r>
          </w:p>
          <w:p w:rsidR="008D6E9B" w:rsidRPr="00703017" w:rsidRDefault="008D6E9B"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3017">
              <w:rPr>
                <w:rFonts w:ascii="Arial" w:hAnsi="Arial" w:cs="Arial"/>
                <w:sz w:val="16"/>
                <w:szCs w:val="16"/>
                <w:lang w:val="bg-BG"/>
              </w:rPr>
              <w:t>pH_р за предпочитане се измерва. Ако няма измервания, приемете неутрално pH = 7, ако това е оправдано.</w:t>
            </w:r>
          </w:p>
          <w:p w:rsidR="008D6E9B" w:rsidRPr="00703017" w:rsidRDefault="008D6E9B"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sz w:val="16"/>
                <w:szCs w:val="16"/>
                <w:lang w:val="bg-BG"/>
              </w:rPr>
              <w:t>Такъв вид изчисления трябва да се разглеждат като най-лош сценарий, когато водните условия са стандартни и в случая няма нищо специфично.</w:t>
            </w:r>
          </w:p>
          <w:p w:rsidR="008D6E9B" w:rsidRPr="00703017" w:rsidRDefault="008D6E9B"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2б</w:t>
            </w:r>
            <w:r w:rsidRPr="00703017">
              <w:rPr>
                <w:rFonts w:ascii="Arial" w:hAnsi="Arial" w:cs="Arial"/>
                <w:sz w:val="16"/>
                <w:szCs w:val="16"/>
                <w:lang w:val="bg-BG"/>
              </w:rPr>
              <w:t xml:space="preserve">: Изчисление 1 (Eq 1) може де се използва за определяне на това, кой pH на обратните води до непоносими нива на pH в приемника. За целта, pH на реката се прима за 9, а pH на отходните води съответно се изчислява (с използването на стойностите по презумпция, както бе показано по-горе, ако това се налага). Тъй като температурата оказва влияние на разтворимостта на варта, pH на отходните води може да се наложи да се наглася според случая. След като се установи максималната допустима стойност на pH в отходните води, се приема че всички концентрации на OH се дължат на изпускане на вар и не съществуват условия на буферен капацитет, които заслужават внимание </w:t>
            </w:r>
            <w:r w:rsidRPr="00703017">
              <w:rPr>
                <w:rFonts w:ascii="Arial" w:hAnsi="Arial" w:cs="Arial"/>
                <w:sz w:val="16"/>
                <w:szCs w:val="16"/>
                <w:lang w:val="bg-BG"/>
              </w:rPr>
              <w:lastRenderedPageBreak/>
              <w:t xml:space="preserve">(това е един нереалистичен най-лош сценарий, който може да бъде усъвършенстван при наличие на някаква допълнителна информация). Максималното количество вар, което може да бъде изпуснато годишно, без това отрицателно да повлияе стойностите на pH в приемащите води се изчислява, като се приеме наличието на химическо равновесие. OH, изразено в молове/литри, се умножава по средния поток на отпадните води и след това се дели на моларната маса </w:t>
            </w:r>
            <w:r w:rsidRPr="0070774F">
              <w:rPr>
                <w:rFonts w:ascii="Arial" w:hAnsi="Arial" w:cs="Arial"/>
                <w:sz w:val="16"/>
                <w:szCs w:val="16"/>
                <w:lang w:val="bg-BG"/>
              </w:rPr>
              <w:t>на CaO.</w:t>
            </w:r>
          </w:p>
          <w:p w:rsidR="008D6E9B" w:rsidRPr="00703017" w:rsidRDefault="008D6E9B"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3</w:t>
            </w:r>
            <w:r w:rsidRPr="00703017">
              <w:rPr>
                <w:rFonts w:ascii="Arial" w:hAnsi="Arial" w:cs="Arial"/>
                <w:sz w:val="16"/>
                <w:szCs w:val="16"/>
                <w:lang w:val="bg-BG"/>
              </w:rPr>
              <w:t>: измерете pH на приемащите води след точката на заустване. Ако pH е под 9, това разумно демонстрира безопасно ползване, с което ES приключва. Ако pH се окаже над 9, тогава се налага прилагане на мерки за управление на риска: отпадните води трябва да преминат през неутрализация, като с това се осигурява безопасно използване на варта във фазите на производство и потребление.</w:t>
            </w:r>
          </w:p>
          <w:p w:rsidR="008D6E9B" w:rsidRPr="00703017" w:rsidRDefault="001D5CEE" w:rsidP="009D4C75">
            <w:pPr>
              <w:tabs>
                <w:tab w:val="left" w:pos="1701"/>
              </w:tabs>
              <w:spacing w:before="60" w:after="60" w:line="240" w:lineRule="auto"/>
              <w:rPr>
                <w:rFonts w:ascii="Arial" w:hAnsi="Arial" w:cs="Arial"/>
                <w:sz w:val="20"/>
                <w:szCs w:val="20"/>
                <w:lang w:val="bg-BG" w:eastAsia="de-DE"/>
              </w:rPr>
            </w:pPr>
            <w:r>
              <w:rPr>
                <w:rFonts w:ascii="Arial" w:hAnsi="Arial" w:cs="Arial"/>
                <w:noProof/>
                <w:sz w:val="20"/>
                <w:szCs w:val="20"/>
                <w:lang w:val="bg-BG" w:eastAsia="bg-BG"/>
              </w:rPr>
              <w:lastRenderedPageBreak/>
              <w:drawing>
                <wp:inline distT="0" distB="0" distL="0" distR="0">
                  <wp:extent cx="5000625" cy="7258050"/>
                  <wp:effectExtent l="0" t="0" r="9525" b="0"/>
                  <wp:docPr id="4"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0625" cy="7258050"/>
                          </a:xfrm>
                          <a:prstGeom prst="rect">
                            <a:avLst/>
                          </a:prstGeom>
                          <a:noFill/>
                          <a:ln>
                            <a:noFill/>
                          </a:ln>
                        </pic:spPr>
                      </pic:pic>
                    </a:graphicData>
                  </a:graphic>
                </wp:inline>
              </w:drawing>
            </w:r>
          </w:p>
        </w:tc>
      </w:tr>
    </w:tbl>
    <w:p w:rsidR="008D6E9B" w:rsidRPr="00703017" w:rsidRDefault="008D6E9B" w:rsidP="00747C73">
      <w:pPr>
        <w:keepNext/>
        <w:pageBreakBefore/>
        <w:tabs>
          <w:tab w:val="left" w:pos="1418"/>
        </w:tabs>
        <w:spacing w:before="240" w:after="60"/>
        <w:outlineLvl w:val="1"/>
        <w:rPr>
          <w:rFonts w:ascii="Arial" w:hAnsi="Arial" w:cs="Arial"/>
          <w:b/>
          <w:bCs/>
          <w:sz w:val="28"/>
          <w:szCs w:val="28"/>
          <w:lang w:val="bg-BG"/>
        </w:rPr>
      </w:pPr>
      <w:bookmarkStart w:id="14" w:name="_Ref265782510"/>
      <w:bookmarkStart w:id="15" w:name="_Toc270425137"/>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6: Професионална употреба на водни разтвори на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bookmarkEnd w:id="14"/>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87"/>
        <w:gridCol w:w="1721"/>
        <w:gridCol w:w="1531"/>
        <w:gridCol w:w="973"/>
        <w:gridCol w:w="875"/>
        <w:gridCol w:w="2275"/>
      </w:tblGrid>
      <w:tr w:rsidR="008D6E9B" w:rsidRPr="0070774F">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D6E9B" w:rsidRPr="00703017">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D6E9B" w:rsidRPr="0070774F">
        <w:trPr>
          <w:trHeight w:val="315"/>
          <w:jc w:val="center"/>
        </w:trPr>
        <w:tc>
          <w:tcPr>
            <w:tcW w:w="0" w:type="auto"/>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5"/>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Професионална употреба на водни разтвори на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D6E9B" w:rsidRPr="0070774F">
        <w:trPr>
          <w:trHeight w:val="1371"/>
          <w:jc w:val="center"/>
        </w:trPr>
        <w:tc>
          <w:tcPr>
            <w:tcW w:w="0" w:type="auto"/>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5"/>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SU22, SU1, SU5, SU6a, SU6b, SU7, SU10, SU11, SU12, SU13, SU16, SU17, SU18, SU19, SU20, SU23, SU24</w:t>
            </w:r>
            <w:r w:rsidRPr="00703017">
              <w:rPr>
                <w:lang w:val="bg-BG"/>
              </w:rPr>
              <w:br/>
            </w:r>
            <w:r w:rsidRPr="00703017">
              <w:rPr>
                <w:rFonts w:ascii="Arial" w:hAnsi="Arial" w:cs="Arial"/>
                <w:sz w:val="16"/>
                <w:szCs w:val="16"/>
                <w:lang w:val="bg-BG"/>
              </w:rPr>
              <w:t>PC1, PC2, PC3, PC7, PC8, PC9a, PC9b, PC11, PC12, PC13, PC14, PC15, PC16, PC17, PC18, PC19, PC20, PC21, PC23, PC24, PC25, PC26, PC27, PC28, PC29, PC30, PC31, PC32, PC33, PC34, PC35, PC36, PC37, PC39, PC40</w:t>
            </w:r>
            <w:r w:rsidRPr="00703017">
              <w:rPr>
                <w:lang w:val="bg-BG"/>
              </w:rPr>
              <w:br/>
            </w:r>
            <w:r w:rsidRPr="00703017">
              <w:rPr>
                <w:rFonts w:ascii="Arial" w:hAnsi="Arial" w:cs="Arial"/>
                <w:sz w:val="16"/>
                <w:szCs w:val="16"/>
                <w:lang w:val="bg-BG"/>
              </w:rPr>
              <w:t>AC1, AC2, AC3, AC4, AC5, AC6, AC7, AC8, AC10, AC11, AC13</w:t>
            </w:r>
          </w:p>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D6E9B" w:rsidRPr="0070774F">
        <w:trPr>
          <w:trHeight w:val="525"/>
          <w:jc w:val="center"/>
        </w:trPr>
        <w:tc>
          <w:tcPr>
            <w:tcW w:w="0" w:type="auto"/>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5"/>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D6E9B" w:rsidRPr="00703017">
        <w:trPr>
          <w:trHeight w:val="444"/>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5"/>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 Оценката за околната среда се основава на FOCUS-Exposit.</w:t>
            </w:r>
          </w:p>
        </w:tc>
      </w:tr>
      <w:tr w:rsidR="008D6E9B" w:rsidRPr="00703017">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D6E9B" w:rsidRPr="00703017">
        <w:trPr>
          <w:trHeight w:val="315"/>
          <w:jc w:val="center"/>
        </w:trPr>
        <w:tc>
          <w:tcPr>
            <w:tcW w:w="0" w:type="auto"/>
            <w:vAlign w:val="center"/>
          </w:tcPr>
          <w:p w:rsidR="008D6E9B" w:rsidRPr="00703017" w:rsidRDefault="008D6E9B"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PROC/ERC</w:t>
            </w:r>
          </w:p>
        </w:tc>
        <w:tc>
          <w:tcPr>
            <w:tcW w:w="4242" w:type="dxa"/>
            <w:gridSpan w:val="3"/>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3188" w:type="dxa"/>
            <w:gridSpan w:val="2"/>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D6E9B" w:rsidRPr="0070774F">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w:t>
            </w:r>
          </w:p>
        </w:tc>
        <w:tc>
          <w:tcPr>
            <w:tcW w:w="4242" w:type="dxa"/>
            <w:gridSpan w:val="3"/>
            <w:vAlign w:val="center"/>
          </w:tcPr>
          <w:p w:rsidR="008D6E9B" w:rsidRPr="00703017" w:rsidRDefault="008D6E9B"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непрекъснат процес със случайно контролирана експозиция</w:t>
            </w:r>
          </w:p>
        </w:tc>
        <w:tc>
          <w:tcPr>
            <w:tcW w:w="3188" w:type="dxa"/>
            <w:gridSpan w:val="2"/>
            <w:vMerge w:val="restart"/>
            <w:vAlign w:val="center"/>
          </w:tcPr>
          <w:p w:rsidR="008D6E9B" w:rsidRPr="00703017" w:rsidRDefault="008D6E9B"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Повече информация е представена в Ръководството ECHA за информационните изисквания и оценка на безопасността на химичните вещаства, Глава R.12: Дескрипторна система на употребите (ECHA-2010-G-05-EN).</w:t>
            </w:r>
          </w:p>
        </w:tc>
      </w:tr>
      <w:tr w:rsidR="008D6E9B" w:rsidRPr="0070774F">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3</w:t>
            </w:r>
          </w:p>
        </w:tc>
        <w:tc>
          <w:tcPr>
            <w:tcW w:w="4242" w:type="dxa"/>
            <w:gridSpan w:val="3"/>
            <w:vAlign w:val="center"/>
          </w:tcPr>
          <w:p w:rsidR="008D6E9B" w:rsidRPr="00703017" w:rsidRDefault="008D6E9B"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периодичен процес (синтез или формулиране)</w:t>
            </w:r>
          </w:p>
        </w:tc>
        <w:tc>
          <w:tcPr>
            <w:tcW w:w="3188" w:type="dxa"/>
            <w:gridSpan w:val="2"/>
            <w:vMerge/>
            <w:vAlign w:val="center"/>
          </w:tcPr>
          <w:p w:rsidR="008D6E9B" w:rsidRPr="00703017" w:rsidRDefault="008D6E9B" w:rsidP="00747C73">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4</w:t>
            </w:r>
          </w:p>
        </w:tc>
        <w:tc>
          <w:tcPr>
            <w:tcW w:w="4242" w:type="dxa"/>
            <w:gridSpan w:val="3"/>
            <w:vAlign w:val="center"/>
          </w:tcPr>
          <w:p w:rsidR="008D6E9B" w:rsidRPr="00703017" w:rsidRDefault="008D6E9B"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периодичен или друг процес (синтез), където се появява възможност за експозиция</w:t>
            </w:r>
          </w:p>
        </w:tc>
        <w:tc>
          <w:tcPr>
            <w:tcW w:w="3188" w:type="dxa"/>
            <w:gridSpan w:val="2"/>
            <w:vMerge/>
            <w:vAlign w:val="center"/>
          </w:tcPr>
          <w:p w:rsidR="008D6E9B" w:rsidRPr="00703017" w:rsidRDefault="008D6E9B" w:rsidP="00747C73">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5</w:t>
            </w:r>
          </w:p>
        </w:tc>
        <w:tc>
          <w:tcPr>
            <w:tcW w:w="4242" w:type="dxa"/>
            <w:gridSpan w:val="3"/>
            <w:vAlign w:val="center"/>
          </w:tcPr>
          <w:p w:rsidR="008D6E9B" w:rsidRPr="00703017" w:rsidRDefault="008D6E9B"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Смесване или блендиране в периодичен процес за формулиране на препарати и изделия (многостепенен и/или значителен контакт)</w:t>
            </w:r>
          </w:p>
        </w:tc>
        <w:tc>
          <w:tcPr>
            <w:tcW w:w="3188" w:type="dxa"/>
            <w:gridSpan w:val="2"/>
            <w:vMerge/>
            <w:vAlign w:val="center"/>
          </w:tcPr>
          <w:p w:rsidR="008D6E9B" w:rsidRPr="00703017" w:rsidRDefault="008D6E9B" w:rsidP="00747C73">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8a</w:t>
            </w:r>
          </w:p>
        </w:tc>
        <w:tc>
          <w:tcPr>
            <w:tcW w:w="4242" w:type="dxa"/>
            <w:gridSpan w:val="3"/>
            <w:vAlign w:val="center"/>
          </w:tcPr>
          <w:p w:rsidR="008D6E9B" w:rsidRPr="00703017" w:rsidRDefault="008D6E9B"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общи съоръжения</w:t>
            </w:r>
          </w:p>
        </w:tc>
        <w:tc>
          <w:tcPr>
            <w:tcW w:w="3188" w:type="dxa"/>
            <w:gridSpan w:val="2"/>
            <w:vMerge/>
            <w:vAlign w:val="center"/>
          </w:tcPr>
          <w:p w:rsidR="008D6E9B" w:rsidRPr="00703017" w:rsidRDefault="008D6E9B" w:rsidP="00747C73">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8b</w:t>
            </w:r>
          </w:p>
        </w:tc>
        <w:tc>
          <w:tcPr>
            <w:tcW w:w="4242" w:type="dxa"/>
            <w:gridSpan w:val="3"/>
            <w:vAlign w:val="center"/>
          </w:tcPr>
          <w:p w:rsidR="008D6E9B" w:rsidRPr="00703017" w:rsidRDefault="008D6E9B"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специални съоръжения</w:t>
            </w:r>
          </w:p>
        </w:tc>
        <w:tc>
          <w:tcPr>
            <w:tcW w:w="3188" w:type="dxa"/>
            <w:gridSpan w:val="2"/>
            <w:vMerge/>
            <w:vAlign w:val="center"/>
          </w:tcPr>
          <w:p w:rsidR="008D6E9B" w:rsidRPr="00703017" w:rsidRDefault="008D6E9B" w:rsidP="00747C73">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9</w:t>
            </w:r>
          </w:p>
        </w:tc>
        <w:tc>
          <w:tcPr>
            <w:tcW w:w="4242" w:type="dxa"/>
            <w:gridSpan w:val="3"/>
            <w:vAlign w:val="center"/>
          </w:tcPr>
          <w:p w:rsidR="008D6E9B" w:rsidRPr="00703017" w:rsidRDefault="008D6E9B"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в малки контейнери (специална линия за пълнене, включително претегляне)</w:t>
            </w:r>
          </w:p>
        </w:tc>
        <w:tc>
          <w:tcPr>
            <w:tcW w:w="3188" w:type="dxa"/>
            <w:gridSpan w:val="2"/>
            <w:vMerge/>
            <w:vAlign w:val="center"/>
          </w:tcPr>
          <w:p w:rsidR="008D6E9B" w:rsidRPr="00703017" w:rsidRDefault="008D6E9B" w:rsidP="00747C73">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10</w:t>
            </w:r>
          </w:p>
        </w:tc>
        <w:tc>
          <w:tcPr>
            <w:tcW w:w="4242" w:type="dxa"/>
            <w:gridSpan w:val="3"/>
            <w:vAlign w:val="center"/>
          </w:tcPr>
          <w:p w:rsidR="008D6E9B" w:rsidRPr="00703017" w:rsidRDefault="008D6E9B"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Нанасяне с валяк или с четка</w:t>
            </w:r>
          </w:p>
        </w:tc>
        <w:tc>
          <w:tcPr>
            <w:tcW w:w="3188" w:type="dxa"/>
            <w:gridSpan w:val="2"/>
            <w:vMerge/>
            <w:vAlign w:val="center"/>
          </w:tcPr>
          <w:p w:rsidR="008D6E9B" w:rsidRPr="00703017" w:rsidRDefault="008D6E9B" w:rsidP="00747C73">
            <w:pPr>
              <w:spacing w:line="240" w:lineRule="auto"/>
              <w:jc w:val="center"/>
              <w:rPr>
                <w:rFonts w:ascii="Arial" w:hAnsi="Arial" w:cs="Arial"/>
                <w:sz w:val="16"/>
                <w:szCs w:val="16"/>
                <w:lang w:val="bg-BG" w:eastAsia="de-DE"/>
              </w:rPr>
            </w:pPr>
          </w:p>
        </w:tc>
      </w:tr>
      <w:tr w:rsidR="008D6E9B" w:rsidRPr="00703017">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11</w:t>
            </w:r>
          </w:p>
        </w:tc>
        <w:tc>
          <w:tcPr>
            <w:tcW w:w="4242" w:type="dxa"/>
            <w:gridSpan w:val="3"/>
            <w:vAlign w:val="center"/>
          </w:tcPr>
          <w:p w:rsidR="008D6E9B" w:rsidRPr="00703017" w:rsidRDefault="008D6E9B"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Пулверизиране извън промишлена среда</w:t>
            </w:r>
          </w:p>
        </w:tc>
        <w:tc>
          <w:tcPr>
            <w:tcW w:w="3188" w:type="dxa"/>
            <w:gridSpan w:val="2"/>
            <w:vMerge/>
            <w:vAlign w:val="center"/>
          </w:tcPr>
          <w:p w:rsidR="008D6E9B" w:rsidRPr="00703017" w:rsidRDefault="008D6E9B" w:rsidP="00747C73">
            <w:pPr>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12</w:t>
            </w:r>
          </w:p>
        </w:tc>
        <w:tc>
          <w:tcPr>
            <w:tcW w:w="4242" w:type="dxa"/>
            <w:gridSpan w:val="3"/>
            <w:vAlign w:val="center"/>
          </w:tcPr>
          <w:p w:rsidR="008D6E9B" w:rsidRPr="00703017" w:rsidRDefault="008D6E9B"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продухващи агенти при производството на пяна</w:t>
            </w:r>
          </w:p>
        </w:tc>
        <w:tc>
          <w:tcPr>
            <w:tcW w:w="3188" w:type="dxa"/>
            <w:gridSpan w:val="2"/>
            <w:vMerge/>
            <w:vAlign w:val="center"/>
          </w:tcPr>
          <w:p w:rsidR="008D6E9B" w:rsidRPr="00703017" w:rsidRDefault="008D6E9B" w:rsidP="00747C73">
            <w:pPr>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13</w:t>
            </w:r>
          </w:p>
        </w:tc>
        <w:tc>
          <w:tcPr>
            <w:tcW w:w="4242" w:type="dxa"/>
            <w:gridSpan w:val="3"/>
            <w:vAlign w:val="center"/>
          </w:tcPr>
          <w:p w:rsidR="008D6E9B" w:rsidRPr="00703017" w:rsidRDefault="008D6E9B"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Третиране на изделия при боядисване чрез потапяне и изливане</w:t>
            </w:r>
          </w:p>
        </w:tc>
        <w:tc>
          <w:tcPr>
            <w:tcW w:w="3188" w:type="dxa"/>
            <w:gridSpan w:val="2"/>
            <w:vMerge/>
            <w:vAlign w:val="center"/>
          </w:tcPr>
          <w:p w:rsidR="008D6E9B" w:rsidRPr="00703017" w:rsidRDefault="008D6E9B" w:rsidP="00747C73">
            <w:pPr>
              <w:spacing w:line="240" w:lineRule="auto"/>
              <w:jc w:val="center"/>
              <w:rPr>
                <w:rFonts w:ascii="Arial" w:hAnsi="Arial" w:cs="Arial"/>
                <w:sz w:val="16"/>
                <w:szCs w:val="16"/>
                <w:lang w:val="bg-BG" w:eastAsia="de-DE"/>
              </w:rPr>
            </w:pPr>
          </w:p>
        </w:tc>
      </w:tr>
      <w:tr w:rsidR="008D6E9B" w:rsidRPr="00703017">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15</w:t>
            </w:r>
          </w:p>
        </w:tc>
        <w:tc>
          <w:tcPr>
            <w:tcW w:w="4242" w:type="dxa"/>
            <w:gridSpan w:val="3"/>
            <w:vAlign w:val="center"/>
          </w:tcPr>
          <w:p w:rsidR="008D6E9B" w:rsidRPr="00703017" w:rsidRDefault="008D6E9B"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лабораторни реагенти</w:t>
            </w:r>
          </w:p>
        </w:tc>
        <w:tc>
          <w:tcPr>
            <w:tcW w:w="3188" w:type="dxa"/>
            <w:gridSpan w:val="2"/>
            <w:vMerge/>
            <w:vAlign w:val="center"/>
          </w:tcPr>
          <w:p w:rsidR="008D6E9B" w:rsidRPr="00703017" w:rsidRDefault="008D6E9B" w:rsidP="00747C73">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16</w:t>
            </w:r>
          </w:p>
        </w:tc>
        <w:tc>
          <w:tcPr>
            <w:tcW w:w="4242" w:type="dxa"/>
            <w:gridSpan w:val="3"/>
            <w:vAlign w:val="center"/>
          </w:tcPr>
          <w:p w:rsidR="008D6E9B" w:rsidRPr="00703017" w:rsidRDefault="008D6E9B"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материал като горивен източник, очаква се ограничена експозиция към неизгорял продукт</w:t>
            </w:r>
          </w:p>
        </w:tc>
        <w:tc>
          <w:tcPr>
            <w:tcW w:w="3188" w:type="dxa"/>
            <w:gridSpan w:val="2"/>
            <w:vMerge/>
            <w:vAlign w:val="center"/>
          </w:tcPr>
          <w:p w:rsidR="008D6E9B" w:rsidRPr="00703017" w:rsidRDefault="008D6E9B" w:rsidP="00747C73">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4242" w:type="dxa"/>
            <w:gridSpan w:val="3"/>
            <w:vAlign w:val="center"/>
          </w:tcPr>
          <w:p w:rsidR="008D6E9B" w:rsidRPr="00703017" w:rsidRDefault="008D6E9B"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Смазване при високо енергийни условия и в частично открит процес</w:t>
            </w:r>
          </w:p>
        </w:tc>
        <w:tc>
          <w:tcPr>
            <w:tcW w:w="3188" w:type="dxa"/>
            <w:gridSpan w:val="2"/>
            <w:vMerge/>
            <w:vAlign w:val="center"/>
          </w:tcPr>
          <w:p w:rsidR="008D6E9B" w:rsidRPr="00703017" w:rsidRDefault="008D6E9B" w:rsidP="00747C73">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18</w:t>
            </w:r>
          </w:p>
        </w:tc>
        <w:tc>
          <w:tcPr>
            <w:tcW w:w="4242" w:type="dxa"/>
            <w:gridSpan w:val="3"/>
            <w:vAlign w:val="center"/>
          </w:tcPr>
          <w:p w:rsidR="008D6E9B" w:rsidRPr="00703017" w:rsidRDefault="008D6E9B"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Гресиране при високо енергийни условия</w:t>
            </w:r>
          </w:p>
        </w:tc>
        <w:tc>
          <w:tcPr>
            <w:tcW w:w="3188" w:type="dxa"/>
            <w:gridSpan w:val="2"/>
            <w:vMerge/>
            <w:vAlign w:val="center"/>
          </w:tcPr>
          <w:p w:rsidR="008D6E9B" w:rsidRPr="00703017" w:rsidRDefault="008D6E9B" w:rsidP="00747C73">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4242" w:type="dxa"/>
            <w:gridSpan w:val="3"/>
            <w:vAlign w:val="center"/>
          </w:tcPr>
          <w:p w:rsidR="008D6E9B" w:rsidRPr="00703017" w:rsidRDefault="008D6E9B"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Ръчно смесване с близък контакт и налични само ЛПС</w:t>
            </w:r>
          </w:p>
        </w:tc>
        <w:tc>
          <w:tcPr>
            <w:tcW w:w="3188" w:type="dxa"/>
            <w:gridSpan w:val="2"/>
            <w:vMerge/>
            <w:vAlign w:val="center"/>
          </w:tcPr>
          <w:p w:rsidR="008D6E9B" w:rsidRPr="00703017" w:rsidRDefault="008D6E9B" w:rsidP="00747C73">
            <w:pPr>
              <w:spacing w:line="240" w:lineRule="auto"/>
              <w:jc w:val="center"/>
              <w:rPr>
                <w:rFonts w:ascii="Arial" w:hAnsi="Arial" w:cs="Arial"/>
                <w:sz w:val="16"/>
                <w:szCs w:val="16"/>
                <w:lang w:val="bg-BG" w:eastAsia="de-DE"/>
              </w:rPr>
            </w:pPr>
          </w:p>
        </w:tc>
      </w:tr>
      <w:tr w:rsidR="008D6E9B" w:rsidRPr="0070774F">
        <w:trPr>
          <w:cantSplit/>
          <w:jc w:val="center"/>
        </w:trPr>
        <w:tc>
          <w:tcPr>
            <w:tcW w:w="0" w:type="auto"/>
            <w:vAlign w:val="center"/>
          </w:tcPr>
          <w:p w:rsidR="008D6E9B" w:rsidRPr="00703017" w:rsidRDefault="008D6E9B"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ERC2, ERC8a, ERC8b, ERC8c, ERC8d, ERC8e, ERC8f</w:t>
            </w:r>
          </w:p>
        </w:tc>
        <w:tc>
          <w:tcPr>
            <w:tcW w:w="4242" w:type="dxa"/>
            <w:gridSpan w:val="3"/>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Широко дисперсивна употреба на открито и закрито на реактивни вещества или подобрители на процеса в отворени системи</w:t>
            </w:r>
          </w:p>
        </w:tc>
        <w:tc>
          <w:tcPr>
            <w:tcW w:w="3188" w:type="dxa"/>
            <w:gridSpan w:val="2"/>
            <w:vAlign w:val="center"/>
          </w:tcPr>
          <w:p w:rsidR="008D6E9B" w:rsidRPr="00703017"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CaO се прилага</w:t>
            </w:r>
            <w:r w:rsidRPr="00703017">
              <w:rPr>
                <w:rFonts w:ascii="Arial" w:hAnsi="Arial" w:cs="Arial"/>
                <w:sz w:val="16"/>
                <w:szCs w:val="16"/>
                <w:lang w:val="bg-BG"/>
              </w:rPr>
              <w:t xml:space="preserve"> в множество случаи на широко дисперсивна употреба: в селското и горското стопанство, в отглеждането на риба и скариди, третиране на почвата и опазване на околната среда.</w:t>
            </w:r>
          </w:p>
        </w:tc>
      </w:tr>
      <w:tr w:rsidR="008D6E9B" w:rsidRPr="0070774F">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2.1 Контрол на експозицията на работниците</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trHeight w:val="841"/>
          <w:jc w:val="center"/>
        </w:trPr>
        <w:tc>
          <w:tcPr>
            <w:tcW w:w="0" w:type="auto"/>
            <w:gridSpan w:val="6"/>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абразивност се взема предвид нивото й, вместо вътрешно присъщия емисионен потенциал на веществото. Приема се, че пръскането с водни разтвори (PROC7 and 11) е свързано със средни емисии.</w:t>
            </w: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gridSpan w:val="2"/>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D6E9B" w:rsidRPr="00703017">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приложими PROC</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воден разтвор</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много нисък</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774F">
        <w:trPr>
          <w:trHeight w:val="673"/>
          <w:jc w:val="center"/>
        </w:trPr>
        <w:tc>
          <w:tcPr>
            <w:tcW w:w="0" w:type="auto"/>
            <w:gridSpan w:val="6"/>
            <w:vAlign w:val="center"/>
          </w:tcPr>
          <w:p w:rsidR="008D6E9B" w:rsidRPr="00703017" w:rsidRDefault="008D6E9B"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детерминант на вътрешно присъщия на процеса емисионен потенциал.</w:t>
            </w:r>
          </w:p>
        </w:tc>
      </w:tr>
      <w:tr w:rsidR="008D6E9B" w:rsidRPr="0070774F">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5"/>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D6E9B" w:rsidRPr="00703017">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11</w:t>
            </w:r>
          </w:p>
        </w:tc>
        <w:tc>
          <w:tcPr>
            <w:tcW w:w="0" w:type="auto"/>
            <w:gridSpan w:val="5"/>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D6E9B" w:rsidRPr="00703017">
        <w:trPr>
          <w:trHeight w:val="301"/>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5"/>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D6E9B" w:rsidRPr="00703017">
        <w:trPr>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D6E9B" w:rsidRPr="00703017">
        <w:trPr>
          <w:trHeight w:val="368"/>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Тъй като водни разтвори не се използват в горещите металургични процеси, работните условия (напр. температура и налягане на процеса) не се считат за релевантни при оценката на професионалната експозиция на извършваните процеси.</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3017">
        <w:trPr>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Измервания на ниво процес като елемент на управлението на риска (напр. задържане или сегрегиране на емисионния източник) по принцип не се изискват при процесите.</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контрол на дисперсията от източника към работника</w:t>
            </w:r>
          </w:p>
        </w:tc>
      </w:tr>
      <w:tr w:rsidR="008D6E9B" w:rsidRPr="00703017">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gridSpan w:val="2"/>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D6E9B" w:rsidRPr="00703017">
        <w:trPr>
          <w:trHeight w:val="489"/>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vMerge w:val="restart"/>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Обикновено при тези процеси не се налага отделяне на работниците от емисионния източник.</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неприложимо</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489"/>
          <w:jc w:val="center"/>
        </w:trPr>
        <w:tc>
          <w:tcPr>
            <w:tcW w:w="0" w:type="auto"/>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gridSpan w:val="2"/>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отделянията, дисперсията и експозицията</w:t>
            </w:r>
          </w:p>
        </w:tc>
      </w:tr>
      <w:tr w:rsidR="008D6E9B" w:rsidRPr="0070774F">
        <w:trPr>
          <w:trHeight w:val="882"/>
          <w:jc w:val="center"/>
        </w:trPr>
        <w:tc>
          <w:tcPr>
            <w:tcW w:w="0" w:type="auto"/>
            <w:gridSpan w:val="6"/>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смяна. Не носете заразени дрехи</w:t>
            </w:r>
            <w:r>
              <w:rPr>
                <w:rFonts w:ascii="Arial" w:hAnsi="Arial" w:cs="Arial"/>
                <w:sz w:val="16"/>
                <w:szCs w:val="16"/>
                <w:lang w:val="bg-BG"/>
              </w:rPr>
              <w:t xml:space="preserve"> в</w:t>
            </w:r>
            <w:r w:rsidRPr="00703017">
              <w:rPr>
                <w:rFonts w:ascii="Arial" w:hAnsi="Arial" w:cs="Arial"/>
                <w:sz w:val="16"/>
                <w:szCs w:val="16"/>
                <w:lang w:val="bg-BG"/>
              </w:rPr>
              <w:t>къщи. Не издухвайте праха с въздух под налягане.</w:t>
            </w:r>
          </w:p>
        </w:tc>
      </w:tr>
      <w:tr w:rsidR="008D6E9B" w:rsidRPr="0070774F">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Условия и мерки за лична защита, хигиена и оценка на здравето</w:t>
            </w:r>
          </w:p>
        </w:tc>
      </w:tr>
      <w:tr w:rsidR="008D6E9B" w:rsidRPr="0070774F">
        <w:trPr>
          <w:trHeight w:val="301"/>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gridSpan w:val="2"/>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D6E9B" w:rsidRPr="0070774F">
        <w:trPr>
          <w:trHeight w:val="923"/>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11</w:t>
            </w:r>
          </w:p>
        </w:tc>
        <w:tc>
          <w:tcPr>
            <w:tcW w:w="0" w:type="auto"/>
            <w:vAlign w:val="center"/>
          </w:tcPr>
          <w:p w:rsidR="008D6E9B" w:rsidRPr="00703017" w:rsidRDefault="008D6E9B" w:rsidP="009D4C75">
            <w:pPr>
              <w:keepNext/>
              <w:jc w:val="center"/>
              <w:rPr>
                <w:rFonts w:ascii="Arial" w:hAnsi="Arial" w:cs="Arial"/>
                <w:sz w:val="16"/>
                <w:szCs w:val="16"/>
                <w:lang w:val="bg-BG" w:eastAsia="de-DE"/>
              </w:rPr>
            </w:pPr>
            <w:r w:rsidRPr="00703017">
              <w:rPr>
                <w:rFonts w:ascii="Arial" w:hAnsi="Arial" w:cs="Arial"/>
                <w:sz w:val="16"/>
                <w:szCs w:val="16"/>
                <w:lang w:val="bg-BG"/>
              </w:rPr>
              <w:t>FFP3 маска</w:t>
            </w:r>
          </w:p>
        </w:tc>
        <w:tc>
          <w:tcPr>
            <w:tcW w:w="0" w:type="auto"/>
            <w:vAlign w:val="center"/>
          </w:tcPr>
          <w:p w:rsidR="008D6E9B" w:rsidRPr="00703017" w:rsidRDefault="008D6E9B" w:rsidP="009D4C75">
            <w:pPr>
              <w:keepNext/>
              <w:jc w:val="center"/>
              <w:rPr>
                <w:rFonts w:ascii="Arial" w:hAnsi="Arial" w:cs="Arial"/>
                <w:sz w:val="16"/>
                <w:szCs w:val="16"/>
                <w:lang w:val="bg-BG" w:eastAsia="de-DE"/>
              </w:rPr>
            </w:pPr>
            <w:r w:rsidRPr="00703017">
              <w:rPr>
                <w:rFonts w:ascii="Arial" w:hAnsi="Arial" w:cs="Arial"/>
                <w:sz w:val="16"/>
                <w:szCs w:val="16"/>
                <w:lang w:val="bg-BG"/>
              </w:rPr>
              <w:t>APF=20</w:t>
            </w:r>
          </w:p>
        </w:tc>
        <w:tc>
          <w:tcPr>
            <w:tcW w:w="0" w:type="auto"/>
            <w:gridSpan w:val="2"/>
            <w:vMerge w:val="restart"/>
            <w:vAlign w:val="center"/>
          </w:tcPr>
          <w:p w:rsidR="008D6E9B" w:rsidRPr="00703017" w:rsidRDefault="008D6E9B" w:rsidP="009D4C75">
            <w:pPr>
              <w:keepNext/>
              <w:jc w:val="center"/>
              <w:rPr>
                <w:rFonts w:ascii="Arial" w:hAnsi="Arial" w:cs="Arial"/>
                <w:sz w:val="16"/>
                <w:szCs w:val="16"/>
                <w:lang w:val="bg-BG" w:eastAsia="de-DE"/>
              </w:rPr>
            </w:pPr>
            <w:r w:rsidRPr="00703017">
              <w:rPr>
                <w:rFonts w:ascii="Arial" w:hAnsi="Arial" w:cs="Arial"/>
                <w:sz w:val="16"/>
                <w:szCs w:val="16"/>
                <w:lang w:val="bg-BG"/>
              </w:rPr>
              <w:t xml:space="preserve">Тъй </w:t>
            </w:r>
            <w:r w:rsidRPr="0070774F">
              <w:rPr>
                <w:rFonts w:ascii="Arial" w:hAnsi="Arial" w:cs="Arial"/>
                <w:sz w:val="16"/>
                <w:szCs w:val="16"/>
                <w:lang w:val="bg-BG"/>
              </w:rPr>
              <w:t>като CaO е</w:t>
            </w:r>
            <w:r w:rsidRPr="00703017">
              <w:rPr>
                <w:rFonts w:ascii="Arial" w:hAnsi="Arial" w:cs="Arial"/>
                <w:sz w:val="16"/>
                <w:szCs w:val="16"/>
                <w:lang w:val="bg-BG"/>
              </w:rPr>
              <w:t xml:space="preserve"> класифицирано като дразнещо кожата, задължителна е употребата на защитни ръкавици на всички етапи на процеса.</w:t>
            </w:r>
          </w:p>
        </w:tc>
        <w:tc>
          <w:tcPr>
            <w:tcW w:w="0" w:type="auto"/>
            <w:vMerge w:val="restart"/>
            <w:vAlign w:val="center"/>
          </w:tcPr>
          <w:p w:rsidR="008D6E9B" w:rsidRPr="00703017" w:rsidRDefault="008D6E9B" w:rsidP="009D4C75">
            <w:pPr>
              <w:keepNext/>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D6E9B" w:rsidRPr="00703017">
        <w:trPr>
          <w:trHeight w:val="923"/>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0" w:type="auto"/>
            <w:vAlign w:val="center"/>
          </w:tcPr>
          <w:p w:rsidR="008D6E9B" w:rsidRPr="00703017" w:rsidRDefault="008D6E9B" w:rsidP="009D4C75">
            <w:pPr>
              <w:keepNext/>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3017">
        <w:trPr>
          <w:trHeight w:val="923"/>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vAlign w:val="center"/>
          </w:tcPr>
          <w:p w:rsidR="008D6E9B" w:rsidRPr="00703017" w:rsidRDefault="008D6E9B" w:rsidP="009D4C75">
            <w:pPr>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gridSpan w:val="2"/>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454"/>
          <w:jc w:val="center"/>
        </w:trPr>
        <w:tc>
          <w:tcPr>
            <w:tcW w:w="0" w:type="auto"/>
            <w:gridSpan w:val="6"/>
            <w:vAlign w:val="center"/>
          </w:tcPr>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D6E9B" w:rsidRPr="00703017" w:rsidRDefault="008D6E9B"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Общ преглед на APF на различните RPE (съгласно BS EN 529:2005) може да се намери в глосара на MEASE.</w:t>
            </w:r>
          </w:p>
        </w:tc>
      </w:tr>
      <w:tr w:rsidR="008D6E9B" w:rsidRPr="0070774F">
        <w:trPr>
          <w:trHeight w:val="315"/>
          <w:jc w:val="center"/>
        </w:trPr>
        <w:tc>
          <w:tcPr>
            <w:tcW w:w="0" w:type="auto"/>
            <w:gridSpan w:val="6"/>
            <w:shd w:val="clear" w:color="000000" w:fill="00FFFF"/>
            <w:vAlign w:val="center"/>
          </w:tcPr>
          <w:p w:rsidR="008D6E9B" w:rsidRPr="00703017" w:rsidRDefault="008D6E9B" w:rsidP="00495CFE">
            <w:pPr>
              <w:keepNext/>
              <w:spacing w:line="240" w:lineRule="auto"/>
              <w:ind w:left="476" w:hanging="476"/>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2.2 Контрол на експозицията за околната среда – отнася се само до защита на селскостопанската почва</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cantSplit/>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p>
          <w:p w:rsidR="008D6E9B" w:rsidRPr="00703017" w:rsidRDefault="008D6E9B" w:rsidP="009D4C75">
            <w:pPr>
              <w:spacing w:line="240" w:lineRule="auto"/>
              <w:jc w:val="both"/>
              <w:rPr>
                <w:rFonts w:ascii="Arial" w:hAnsi="Arial" w:cs="Arial"/>
                <w:sz w:val="16"/>
                <w:szCs w:val="16"/>
                <w:highlight w:val="yellow"/>
                <w:lang w:val="bg-BG" w:eastAsia="de-DE"/>
              </w:rPr>
            </w:pPr>
          </w:p>
          <w:p w:rsidR="008D6E9B" w:rsidRPr="00703017" w:rsidRDefault="001D5CEE" w:rsidP="00F86E80">
            <w:pPr>
              <w:spacing w:line="240" w:lineRule="auto"/>
              <w:ind w:left="2832"/>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476625" cy="2705100"/>
                  <wp:effectExtent l="0" t="0" r="9525" b="0"/>
                  <wp:docPr id="3"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625" cy="2705100"/>
                          </a:xfrm>
                          <a:prstGeom prst="rect">
                            <a:avLst/>
                          </a:prstGeom>
                          <a:noFill/>
                          <a:ln>
                            <a:noFill/>
                          </a:ln>
                        </pic:spPr>
                      </pic:pic>
                    </a:graphicData>
                  </a:graphic>
                </wp:inline>
              </w:drawing>
            </w:r>
          </w:p>
          <w:p w:rsidR="008D6E9B" w:rsidRPr="00703017" w:rsidRDefault="008D6E9B" w:rsidP="009D4C75">
            <w:pPr>
              <w:spacing w:line="240" w:lineRule="auto"/>
              <w:ind w:left="2880"/>
              <w:jc w:val="both"/>
              <w:rPr>
                <w:rFonts w:ascii="Arial" w:hAnsi="Arial" w:cs="Arial"/>
                <w:sz w:val="16"/>
                <w:szCs w:val="16"/>
                <w:lang w:val="bg-BG" w:eastAsia="de-DE"/>
              </w:rPr>
            </w:pPr>
            <w:r w:rsidRPr="00703017">
              <w:rPr>
                <w:rFonts w:ascii="Arial" w:hAnsi="Arial" w:cs="Arial"/>
                <w:sz w:val="16"/>
                <w:szCs w:val="16"/>
                <w:lang w:val="bg-BG"/>
              </w:rPr>
              <w:t>(Фигурата е взета от: Laudet, A. et al., 1999)</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Използвани количества</w:t>
            </w:r>
          </w:p>
        </w:tc>
      </w:tr>
      <w:tr w:rsidR="008D6E9B" w:rsidRPr="00703017">
        <w:trPr>
          <w:trHeight w:val="301"/>
          <w:jc w:val="center"/>
        </w:trPr>
        <w:tc>
          <w:tcPr>
            <w:tcW w:w="0" w:type="auto"/>
            <w:vAlign w:val="center"/>
          </w:tcPr>
          <w:p w:rsidR="008D6E9B" w:rsidRPr="0070774F" w:rsidRDefault="008D6E9B" w:rsidP="00B71C2F">
            <w:pPr>
              <w:keepNext/>
              <w:spacing w:line="240" w:lineRule="auto"/>
              <w:rPr>
                <w:rFonts w:ascii="Arial" w:hAnsi="Arial" w:cs="Arial"/>
                <w:sz w:val="16"/>
                <w:szCs w:val="16"/>
                <w:lang w:val="bg-BG" w:eastAsia="de-DE"/>
              </w:rPr>
            </w:pPr>
            <w:r w:rsidRPr="0070774F">
              <w:rPr>
                <w:rFonts w:ascii="Arial" w:hAnsi="Arial" w:cs="Arial"/>
                <w:sz w:val="16"/>
                <w:szCs w:val="16"/>
                <w:lang w:val="bg-BG"/>
              </w:rPr>
              <w:t>CaO</w:t>
            </w:r>
          </w:p>
        </w:tc>
        <w:tc>
          <w:tcPr>
            <w:tcW w:w="0" w:type="auto"/>
            <w:gridSpan w:val="5"/>
            <w:vAlign w:val="center"/>
          </w:tcPr>
          <w:p w:rsidR="008D6E9B" w:rsidRPr="0070774F" w:rsidRDefault="008D6E9B" w:rsidP="00747C73">
            <w:pPr>
              <w:keepNext/>
              <w:spacing w:line="240" w:lineRule="auto"/>
              <w:jc w:val="center"/>
              <w:rPr>
                <w:rFonts w:ascii="Arial" w:hAnsi="Arial" w:cs="Arial"/>
                <w:sz w:val="16"/>
                <w:szCs w:val="16"/>
                <w:lang w:val="bg-BG" w:eastAsia="de-DE"/>
              </w:rPr>
            </w:pPr>
            <w:r w:rsidRPr="0070774F">
              <w:rPr>
                <w:rFonts w:ascii="Arial" w:hAnsi="Arial" w:cs="Arial"/>
                <w:sz w:val="16"/>
                <w:szCs w:val="16"/>
                <w:lang w:val="fr-BE"/>
              </w:rPr>
              <w:t>1 700</w:t>
            </w:r>
            <w:r w:rsidRPr="0070774F">
              <w:rPr>
                <w:rFonts w:ascii="Arial" w:hAnsi="Arial" w:cs="Arial"/>
                <w:sz w:val="16"/>
                <w:szCs w:val="16"/>
                <w:lang w:val="bg-BG"/>
              </w:rPr>
              <w:t xml:space="preserve"> kg/ha</w:t>
            </w:r>
          </w:p>
        </w:tc>
      </w:tr>
      <w:tr w:rsidR="008D6E9B" w:rsidRPr="00703017">
        <w:trPr>
          <w:trHeight w:val="315"/>
          <w:jc w:val="center"/>
        </w:trPr>
        <w:tc>
          <w:tcPr>
            <w:tcW w:w="0" w:type="auto"/>
            <w:gridSpan w:val="6"/>
            <w:shd w:val="clear" w:color="000000" w:fill="C0C0C0"/>
            <w:vAlign w:val="center"/>
          </w:tcPr>
          <w:p w:rsidR="008D6E9B" w:rsidRPr="0070774F" w:rsidRDefault="008D6E9B" w:rsidP="009D4C75">
            <w:pPr>
              <w:keepNext/>
              <w:spacing w:line="240" w:lineRule="auto"/>
              <w:jc w:val="both"/>
              <w:rPr>
                <w:rFonts w:ascii="Arial" w:hAnsi="Arial" w:cs="Arial"/>
                <w:b/>
                <w:bCs/>
                <w:color w:val="0000FF"/>
                <w:sz w:val="16"/>
                <w:szCs w:val="16"/>
                <w:lang w:val="bg-BG" w:eastAsia="de-DE"/>
              </w:rPr>
            </w:pPr>
            <w:r w:rsidRPr="0070774F">
              <w:rPr>
                <w:rFonts w:ascii="Arial" w:hAnsi="Arial" w:cs="Arial"/>
                <w:b/>
                <w:bCs/>
                <w:color w:val="0000FF"/>
                <w:sz w:val="16"/>
                <w:szCs w:val="16"/>
                <w:lang w:val="bg-BG"/>
              </w:rPr>
              <w:t>Честота и продължителност на употребата</w:t>
            </w:r>
          </w:p>
        </w:tc>
      </w:tr>
      <w:tr w:rsidR="008D6E9B" w:rsidRPr="0070774F">
        <w:trPr>
          <w:trHeight w:val="315"/>
          <w:jc w:val="center"/>
        </w:trPr>
        <w:tc>
          <w:tcPr>
            <w:tcW w:w="0" w:type="auto"/>
            <w:gridSpan w:val="6"/>
            <w:vAlign w:val="center"/>
          </w:tcPr>
          <w:p w:rsidR="008D6E9B" w:rsidRPr="0070774F" w:rsidRDefault="008D6E9B" w:rsidP="0087484B">
            <w:pPr>
              <w:spacing w:line="240" w:lineRule="auto"/>
              <w:jc w:val="both"/>
              <w:rPr>
                <w:rFonts w:ascii="Arial" w:hAnsi="Arial" w:cs="Arial"/>
                <w:sz w:val="16"/>
                <w:szCs w:val="16"/>
                <w:lang w:val="bg-BG" w:eastAsia="de-DE"/>
              </w:rPr>
            </w:pPr>
            <w:r w:rsidRPr="0070774F">
              <w:rPr>
                <w:rFonts w:ascii="Arial" w:hAnsi="Arial" w:cs="Arial"/>
                <w:sz w:val="16"/>
                <w:szCs w:val="16"/>
                <w:lang w:val="bg-BG"/>
              </w:rPr>
              <w:t>1 ден/година (едно прилагане за една година). Позволено е многократно прилагане през годината, при положение че общото годишно количество от 1 700 kg/ha не се надхвърля (CaO)</w:t>
            </w:r>
          </w:p>
        </w:tc>
      </w:tr>
      <w:tr w:rsidR="008D6E9B" w:rsidRPr="0070774F">
        <w:trPr>
          <w:trHeight w:val="315"/>
          <w:jc w:val="center"/>
        </w:trPr>
        <w:tc>
          <w:tcPr>
            <w:tcW w:w="0" w:type="auto"/>
            <w:gridSpan w:val="6"/>
            <w:shd w:val="clear" w:color="000000" w:fill="CCCCCC"/>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D6E9B" w:rsidRPr="00703017">
        <w:trPr>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Обем на повърхностните води: 300 L/m² </w:t>
            </w:r>
          </w:p>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Площ на повърхността: 1 ha</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rPr>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3017">
        <w:trPr>
          <w:trHeight w:val="352"/>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Няма директни отделяния в прилежащите повърхностни води.</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намаляване или ограничаване на отделянията, емисиите във въздуха и почвата</w:t>
            </w:r>
          </w:p>
        </w:tc>
      </w:tr>
      <w:tr w:rsidR="008D6E9B" w:rsidRPr="00703017">
        <w:trPr>
          <w:trHeight w:val="362"/>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отделянето от обекта</w:t>
            </w:r>
          </w:p>
        </w:tc>
      </w:tr>
      <w:tr w:rsidR="008D6E9B" w:rsidRPr="00703017">
        <w:trPr>
          <w:trHeight w:val="525"/>
          <w:jc w:val="center"/>
        </w:trPr>
        <w:tc>
          <w:tcPr>
            <w:tcW w:w="0" w:type="auto"/>
            <w:gridSpan w:val="6"/>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В съответствие с изискванията на добрата селскостопанска практика, селскостопанската почва следва да се анализира, преди прилагането на вар и степента на прилагане трябва да се съобрази с резултатите от анализа.</w:t>
            </w:r>
          </w:p>
        </w:tc>
      </w:tr>
      <w:tr w:rsidR="008D6E9B" w:rsidRPr="00703017">
        <w:trPr>
          <w:trHeight w:val="315"/>
          <w:jc w:val="center"/>
        </w:trPr>
        <w:tc>
          <w:tcPr>
            <w:tcW w:w="0" w:type="auto"/>
            <w:gridSpan w:val="6"/>
            <w:shd w:val="clear" w:color="000000" w:fill="00FFFF"/>
            <w:vAlign w:val="center"/>
          </w:tcPr>
          <w:p w:rsidR="008D6E9B" w:rsidRPr="00703017" w:rsidRDefault="008D6E9B" w:rsidP="00495CFE">
            <w:pPr>
              <w:keepNext/>
              <w:spacing w:line="240" w:lineRule="auto"/>
              <w:ind w:left="392" w:hanging="378"/>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2.2 Контрол на експозицията за околната среда – отнася се само до третиране на почвата в гражданското строителство</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trHeight w:val="315"/>
          <w:jc w:val="center"/>
        </w:trPr>
        <w:tc>
          <w:tcPr>
            <w:tcW w:w="0" w:type="auto"/>
            <w:gridSpan w:val="6"/>
            <w:vAlign w:val="center"/>
          </w:tcPr>
          <w:p w:rsidR="008D6E9B" w:rsidRPr="00703017" w:rsidRDefault="008D6E9B" w:rsidP="009D4C75">
            <w:pPr>
              <w:keepNext/>
              <w:spacing w:line="240" w:lineRule="auto"/>
              <w:jc w:val="both"/>
              <w:rPr>
                <w:rFonts w:ascii="Arial" w:hAnsi="Arial" w:cs="Arial"/>
                <w:sz w:val="16"/>
                <w:szCs w:val="16"/>
                <w:highlight w:val="yellow"/>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r w:rsidRPr="00703017">
              <w:rPr>
                <w:rFonts w:ascii="Arial" w:hAnsi="Arial" w:cs="Arial"/>
                <w:sz w:val="16"/>
                <w:szCs w:val="16"/>
                <w:highlight w:val="yellow"/>
                <w:lang w:val="bg-BG"/>
              </w:rPr>
              <w:t xml:space="preserve"> </w:t>
            </w:r>
          </w:p>
          <w:p w:rsidR="008D6E9B" w:rsidRPr="00703017" w:rsidRDefault="001D5CEE" w:rsidP="00F86E80">
            <w:pPr>
              <w:keepNext/>
              <w:spacing w:line="240" w:lineRule="auto"/>
              <w:ind w:left="2832"/>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476625" cy="2705100"/>
                  <wp:effectExtent l="0" t="0" r="9525" b="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625" cy="2705100"/>
                          </a:xfrm>
                          <a:prstGeom prst="rect">
                            <a:avLst/>
                          </a:prstGeom>
                          <a:noFill/>
                          <a:ln>
                            <a:noFill/>
                          </a:ln>
                        </pic:spPr>
                      </pic:pic>
                    </a:graphicData>
                  </a:graphic>
                </wp:inline>
              </w:drawing>
            </w:r>
          </w:p>
          <w:p w:rsidR="008D6E9B" w:rsidRPr="00703017" w:rsidRDefault="008D6E9B" w:rsidP="009D4C75">
            <w:pPr>
              <w:keepNext/>
              <w:spacing w:line="240" w:lineRule="auto"/>
              <w:ind w:left="2880"/>
              <w:jc w:val="both"/>
              <w:rPr>
                <w:rFonts w:ascii="Arial" w:hAnsi="Arial" w:cs="Arial"/>
                <w:sz w:val="16"/>
                <w:szCs w:val="16"/>
                <w:lang w:val="bg-BG" w:eastAsia="de-DE"/>
              </w:rPr>
            </w:pPr>
            <w:r w:rsidRPr="00703017">
              <w:rPr>
                <w:rFonts w:ascii="Arial" w:hAnsi="Arial" w:cs="Arial"/>
                <w:sz w:val="16"/>
                <w:szCs w:val="16"/>
                <w:lang w:val="bg-BG"/>
              </w:rPr>
              <w:t>(Фигурата е взета от: Laudet, A. et al., 1999)</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3017">
        <w:trPr>
          <w:trHeight w:val="301"/>
          <w:jc w:val="center"/>
        </w:trPr>
        <w:tc>
          <w:tcPr>
            <w:tcW w:w="0" w:type="auto"/>
            <w:vAlign w:val="center"/>
          </w:tcPr>
          <w:p w:rsidR="008D6E9B" w:rsidRPr="0070774F" w:rsidRDefault="008D6E9B" w:rsidP="00B71C2F">
            <w:pPr>
              <w:keepNext/>
              <w:spacing w:line="240" w:lineRule="auto"/>
              <w:rPr>
                <w:rFonts w:ascii="Arial" w:hAnsi="Arial" w:cs="Arial"/>
                <w:sz w:val="16"/>
                <w:szCs w:val="16"/>
                <w:lang w:val="bg-BG" w:eastAsia="de-DE"/>
              </w:rPr>
            </w:pPr>
            <w:r w:rsidRPr="0070774F">
              <w:rPr>
                <w:rFonts w:ascii="Arial" w:hAnsi="Arial" w:cs="Arial"/>
                <w:sz w:val="16"/>
                <w:szCs w:val="16"/>
                <w:lang w:val="bg-BG"/>
              </w:rPr>
              <w:t>CaO</w:t>
            </w:r>
          </w:p>
        </w:tc>
        <w:tc>
          <w:tcPr>
            <w:tcW w:w="0" w:type="auto"/>
            <w:gridSpan w:val="5"/>
            <w:vAlign w:val="center"/>
          </w:tcPr>
          <w:p w:rsidR="008D6E9B" w:rsidRPr="0070774F" w:rsidRDefault="008D6E9B" w:rsidP="006B23EB">
            <w:pPr>
              <w:keepNext/>
              <w:spacing w:line="240" w:lineRule="auto"/>
              <w:jc w:val="center"/>
              <w:rPr>
                <w:rFonts w:ascii="Arial" w:hAnsi="Arial" w:cs="Arial"/>
                <w:sz w:val="16"/>
                <w:szCs w:val="16"/>
                <w:lang w:val="bg-BG" w:eastAsia="de-DE"/>
              </w:rPr>
            </w:pPr>
            <w:r w:rsidRPr="0070774F">
              <w:rPr>
                <w:rFonts w:ascii="Arial" w:hAnsi="Arial" w:cs="Arial"/>
                <w:sz w:val="16"/>
                <w:szCs w:val="16"/>
                <w:lang w:val="fr-BE"/>
              </w:rPr>
              <w:t>180 000</w:t>
            </w:r>
            <w:r w:rsidRPr="0070774F">
              <w:rPr>
                <w:rFonts w:ascii="Arial" w:hAnsi="Arial" w:cs="Arial"/>
                <w:sz w:val="16"/>
                <w:szCs w:val="16"/>
                <w:lang w:val="bg-BG"/>
              </w:rPr>
              <w:t xml:space="preserve"> kg/ha</w:t>
            </w:r>
          </w:p>
        </w:tc>
      </w:tr>
      <w:tr w:rsidR="008D6E9B" w:rsidRPr="00703017">
        <w:trPr>
          <w:trHeight w:val="315"/>
          <w:jc w:val="center"/>
        </w:trPr>
        <w:tc>
          <w:tcPr>
            <w:tcW w:w="0" w:type="auto"/>
            <w:gridSpan w:val="6"/>
            <w:shd w:val="clear" w:color="000000" w:fill="C0C0C0"/>
            <w:vAlign w:val="center"/>
          </w:tcPr>
          <w:p w:rsidR="008D6E9B" w:rsidRPr="0070774F" w:rsidRDefault="008D6E9B" w:rsidP="009D4C75">
            <w:pPr>
              <w:keepNext/>
              <w:spacing w:line="240" w:lineRule="auto"/>
              <w:jc w:val="both"/>
              <w:rPr>
                <w:rFonts w:ascii="Arial" w:hAnsi="Arial" w:cs="Arial"/>
                <w:b/>
                <w:bCs/>
                <w:color w:val="0000FF"/>
                <w:sz w:val="16"/>
                <w:szCs w:val="16"/>
                <w:lang w:val="bg-BG" w:eastAsia="de-DE"/>
              </w:rPr>
            </w:pPr>
            <w:r w:rsidRPr="0070774F">
              <w:rPr>
                <w:rFonts w:ascii="Arial" w:hAnsi="Arial" w:cs="Arial"/>
                <w:b/>
                <w:bCs/>
                <w:color w:val="0000FF"/>
                <w:sz w:val="16"/>
                <w:szCs w:val="16"/>
                <w:lang w:val="bg-BG"/>
              </w:rPr>
              <w:t>Честота и продължителност на употребата</w:t>
            </w:r>
          </w:p>
        </w:tc>
      </w:tr>
      <w:tr w:rsidR="008D6E9B" w:rsidRPr="0070774F">
        <w:trPr>
          <w:trHeight w:val="315"/>
          <w:jc w:val="center"/>
        </w:trPr>
        <w:tc>
          <w:tcPr>
            <w:tcW w:w="0" w:type="auto"/>
            <w:gridSpan w:val="6"/>
            <w:vAlign w:val="center"/>
          </w:tcPr>
          <w:p w:rsidR="008D6E9B" w:rsidRPr="0070774F" w:rsidRDefault="008D6E9B" w:rsidP="0087484B">
            <w:pPr>
              <w:spacing w:line="240" w:lineRule="auto"/>
              <w:jc w:val="both"/>
              <w:rPr>
                <w:rFonts w:ascii="Arial" w:hAnsi="Arial" w:cs="Arial"/>
                <w:sz w:val="16"/>
                <w:szCs w:val="16"/>
                <w:lang w:val="bg-BG" w:eastAsia="de-DE"/>
              </w:rPr>
            </w:pPr>
            <w:r w:rsidRPr="0070774F">
              <w:rPr>
                <w:rFonts w:ascii="Arial" w:hAnsi="Arial" w:cs="Arial"/>
                <w:sz w:val="16"/>
                <w:szCs w:val="16"/>
                <w:lang w:val="bg-BG"/>
              </w:rPr>
              <w:t>1 ден/година и само веднъж в живота. Позволено е многократно прилагане през годината, при положение че общото годишно количество от 180 000 kg/ha не се надхвърля (CaO)</w:t>
            </w:r>
          </w:p>
        </w:tc>
      </w:tr>
      <w:tr w:rsidR="008D6E9B" w:rsidRPr="0070774F">
        <w:trPr>
          <w:trHeight w:val="315"/>
          <w:jc w:val="center"/>
        </w:trPr>
        <w:tc>
          <w:tcPr>
            <w:tcW w:w="0" w:type="auto"/>
            <w:gridSpan w:val="6"/>
            <w:shd w:val="clear" w:color="000000" w:fill="CCCCCC"/>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D6E9B" w:rsidRPr="00703017">
        <w:trPr>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Площ на повърхността: 1 ha</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Други дадени работни условия, които оказват влияние върху експозицията за околната среда</w:t>
            </w:r>
          </w:p>
        </w:tc>
      </w:tr>
      <w:tr w:rsidR="008D6E9B" w:rsidRPr="00703017">
        <w:trPr>
          <w:trHeight w:val="31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3017">
        <w:trPr>
          <w:trHeight w:val="525"/>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Варта се прилага само към почвата в техносферата, преди построяването на пътища. Няма директни отделяния в прилежащите повърхностни води.</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D6E9B" w:rsidRPr="00703017">
        <w:trPr>
          <w:trHeight w:val="401"/>
          <w:jc w:val="center"/>
        </w:trPr>
        <w:tc>
          <w:tcPr>
            <w:tcW w:w="0" w:type="auto"/>
            <w:gridSpan w:val="6"/>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D6E9B" w:rsidRPr="00703017">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3. Оценка на експозицията и референция на източника</w:t>
            </w:r>
          </w:p>
        </w:tc>
      </w:tr>
      <w:tr w:rsidR="008D6E9B" w:rsidRPr="00703017">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D6E9B" w:rsidRPr="0070774F">
        <w:trPr>
          <w:trHeight w:val="601"/>
          <w:jc w:val="center"/>
        </w:trPr>
        <w:tc>
          <w:tcPr>
            <w:tcW w:w="0" w:type="auto"/>
            <w:gridSpan w:val="6"/>
            <w:vAlign w:val="center"/>
          </w:tcPr>
          <w:p w:rsidR="008D6E9B" w:rsidRPr="0070774F" w:rsidRDefault="008D6E9B" w:rsidP="006F7911">
            <w:pPr>
              <w:keepNext/>
              <w:spacing w:line="240" w:lineRule="auto"/>
              <w:rPr>
                <w:rFonts w:ascii="Arial" w:hAnsi="Arial" w:cs="Arial"/>
                <w:sz w:val="16"/>
                <w:szCs w:val="16"/>
                <w:lang w:val="bg-BG" w:eastAsia="de-DE"/>
              </w:rPr>
            </w:pPr>
            <w:r w:rsidRPr="0070774F">
              <w:rPr>
                <w:rFonts w:ascii="Arial" w:hAnsi="Arial" w:cs="Arial"/>
                <w:sz w:val="16"/>
                <w:szCs w:val="16"/>
                <w:lang w:val="bg-BG"/>
              </w:rPr>
              <w:t>Инструментът за оценка на експозицията MEASE се използва за оценка на експозицията при вдишване. Съотношението на характеризиране на риска (RCR) еотношение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за CaO от 1 mg/m³ (като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тъй като вдишаната фракция е подфракция на вдишваната фракция, съгласно EN 481.</w:t>
            </w:r>
          </w:p>
        </w:tc>
      </w:tr>
      <w:tr w:rsidR="008D6E9B" w:rsidRPr="0070774F">
        <w:trPr>
          <w:trHeight w:val="679"/>
          <w:jc w:val="center"/>
        </w:trPr>
        <w:tc>
          <w:tcPr>
            <w:tcW w:w="0" w:type="auto"/>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Методология, използвана за оценка на експозицията при вдишване</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на експозиция при вдишване (RCR)</w:t>
            </w:r>
          </w:p>
        </w:tc>
        <w:tc>
          <w:tcPr>
            <w:tcW w:w="0" w:type="auto"/>
            <w:gridSpan w:val="2"/>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Методология, използвана за оценка на дермалната експозиция</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при дермална експозиция (RCR)</w:t>
            </w:r>
          </w:p>
        </w:tc>
      </w:tr>
      <w:tr w:rsidR="008D6E9B" w:rsidRPr="0070774F">
        <w:trPr>
          <w:trHeight w:val="301"/>
          <w:jc w:val="center"/>
        </w:trPr>
        <w:tc>
          <w:tcPr>
            <w:tcW w:w="0" w:type="auto"/>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 3, 4, 5, 8a, 8b, 9, 10, 11, 12, 13, 15, 16, 17, 18, 19</w:t>
            </w:r>
          </w:p>
        </w:tc>
        <w:tc>
          <w:tcPr>
            <w:tcW w:w="0" w:type="auto"/>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MEASE</w:t>
            </w:r>
          </w:p>
        </w:tc>
        <w:tc>
          <w:tcPr>
            <w:tcW w:w="0" w:type="auto"/>
            <w:vAlign w:val="center"/>
          </w:tcPr>
          <w:p w:rsidR="008D6E9B" w:rsidRPr="0070774F" w:rsidRDefault="008D6E9B" w:rsidP="003F243A">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 xml:space="preserve">&lt; 1 mg/m³ </w:t>
            </w:r>
            <w:r w:rsidRPr="0070774F">
              <w:rPr>
                <w:rFonts w:ascii="Arial" w:hAnsi="Arial" w:cs="Arial"/>
                <w:sz w:val="16"/>
                <w:szCs w:val="16"/>
                <w:lang w:val="bg-BG"/>
              </w:rPr>
              <w:br/>
              <w:t>(&lt;0</w:t>
            </w:r>
            <w:r w:rsidRPr="0070774F">
              <w:rPr>
                <w:rFonts w:ascii="Arial" w:hAnsi="Arial" w:cs="Arial"/>
                <w:sz w:val="16"/>
                <w:szCs w:val="16"/>
                <w:lang w:val="de-DE"/>
              </w:rPr>
              <w:t>,</w:t>
            </w:r>
            <w:r w:rsidRPr="0070774F">
              <w:rPr>
                <w:rFonts w:ascii="Arial" w:hAnsi="Arial" w:cs="Arial"/>
                <w:sz w:val="16"/>
                <w:szCs w:val="16"/>
                <w:lang w:val="bg-BG"/>
              </w:rPr>
              <w:t>001 – 0</w:t>
            </w:r>
            <w:r w:rsidRPr="0070774F">
              <w:rPr>
                <w:rFonts w:ascii="Arial" w:hAnsi="Arial" w:cs="Arial"/>
                <w:sz w:val="16"/>
                <w:szCs w:val="16"/>
                <w:lang w:val="de-DE"/>
              </w:rPr>
              <w:t>,</w:t>
            </w:r>
            <w:r w:rsidRPr="0070774F">
              <w:rPr>
                <w:rFonts w:ascii="Arial" w:hAnsi="Arial" w:cs="Arial"/>
                <w:sz w:val="16"/>
                <w:szCs w:val="16"/>
                <w:lang w:val="bg-BG"/>
              </w:rPr>
              <w:t>6)</w:t>
            </w:r>
          </w:p>
        </w:tc>
        <w:tc>
          <w:tcPr>
            <w:tcW w:w="0" w:type="auto"/>
            <w:gridSpan w:val="3"/>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Тъй като CaO се класифицира като дразнещо кожата, дермалната експозиция трябва да се минимализира до технически оправданото. Не е получен DNEL за дермалните ефекти. Така че дермалната експозиция не се оценява в този сценарий на експозиция.</w:t>
            </w:r>
          </w:p>
        </w:tc>
      </w:tr>
      <w:tr w:rsidR="008D6E9B" w:rsidRPr="0070774F">
        <w:trPr>
          <w:trHeight w:val="315"/>
          <w:jc w:val="center"/>
        </w:trPr>
        <w:tc>
          <w:tcPr>
            <w:tcW w:w="0" w:type="auto"/>
            <w:gridSpan w:val="6"/>
            <w:shd w:val="clear" w:color="000000" w:fill="C0C0C0"/>
            <w:vAlign w:val="center"/>
          </w:tcPr>
          <w:p w:rsidR="008D6E9B" w:rsidRPr="0070774F" w:rsidRDefault="008D6E9B" w:rsidP="009D4C75">
            <w:pPr>
              <w:keepNext/>
              <w:spacing w:line="240" w:lineRule="auto"/>
              <w:jc w:val="both"/>
              <w:rPr>
                <w:rFonts w:ascii="Arial" w:hAnsi="Arial" w:cs="Arial"/>
                <w:b/>
                <w:bCs/>
                <w:color w:val="0000FF"/>
                <w:sz w:val="16"/>
                <w:szCs w:val="16"/>
                <w:lang w:val="bg-BG" w:eastAsia="de-DE"/>
              </w:rPr>
            </w:pPr>
            <w:r w:rsidRPr="0070774F">
              <w:rPr>
                <w:rFonts w:ascii="Arial" w:hAnsi="Arial" w:cs="Arial"/>
                <w:b/>
                <w:bCs/>
                <w:color w:val="0000FF"/>
                <w:sz w:val="16"/>
                <w:szCs w:val="16"/>
                <w:lang w:val="bg-BG"/>
              </w:rPr>
              <w:t>Експозицията за околната среда за целите на защита на селскостопанската почва</w:t>
            </w:r>
          </w:p>
        </w:tc>
      </w:tr>
      <w:tr w:rsidR="008D6E9B" w:rsidRPr="0070774F">
        <w:trPr>
          <w:cantSplit/>
          <w:trHeight w:val="301"/>
          <w:jc w:val="center"/>
        </w:trPr>
        <w:tc>
          <w:tcPr>
            <w:tcW w:w="0" w:type="auto"/>
            <w:gridSpan w:val="6"/>
            <w:vAlign w:val="center"/>
          </w:tcPr>
          <w:p w:rsidR="008D6E9B" w:rsidRPr="0070774F" w:rsidRDefault="008D6E9B" w:rsidP="002E283F">
            <w:pPr>
              <w:spacing w:line="240" w:lineRule="auto"/>
              <w:rPr>
                <w:rFonts w:ascii="Arial" w:hAnsi="Arial" w:cs="Arial"/>
                <w:sz w:val="16"/>
                <w:szCs w:val="16"/>
                <w:lang w:val="bg-BG" w:eastAsia="de-DE"/>
              </w:rPr>
            </w:pPr>
            <w:r w:rsidRPr="0070774F">
              <w:rPr>
                <w:rFonts w:ascii="Arial" w:hAnsi="Arial" w:cs="Arial"/>
                <w:sz w:val="16"/>
                <w:szCs w:val="16"/>
                <w:lang w:val="bg-BG"/>
              </w:rPr>
              <w:t>Изчислението PEC за подпочвените и повърхностните води се основава на групата почви FOCUS (FOCUS, 1996) и на проекто-ръководството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(Kloskowksi et al.,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биоцидни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 веднъж приложено към почвата, CaO може действително да мигрира към повърхностните води, чрез дрейфа.</w:t>
            </w:r>
          </w:p>
        </w:tc>
      </w:tr>
      <w:tr w:rsidR="008D6E9B" w:rsidRPr="00703017">
        <w:trPr>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5"/>
            <w:vAlign w:val="center"/>
          </w:tcPr>
          <w:p w:rsidR="008D6E9B" w:rsidRPr="0070774F" w:rsidRDefault="008D6E9B" w:rsidP="009D4C75">
            <w:pPr>
              <w:spacing w:line="240" w:lineRule="auto"/>
              <w:jc w:val="both"/>
              <w:rPr>
                <w:rFonts w:ascii="Arial" w:hAnsi="Arial" w:cs="Arial"/>
                <w:sz w:val="16"/>
                <w:szCs w:val="16"/>
                <w:lang w:val="bg-BG" w:eastAsia="de-DE"/>
              </w:rPr>
            </w:pPr>
            <w:r w:rsidRPr="0070774F">
              <w:rPr>
                <w:rFonts w:ascii="Arial" w:hAnsi="Arial" w:cs="Arial"/>
                <w:sz w:val="16"/>
                <w:szCs w:val="16"/>
                <w:lang w:val="bg-BG"/>
              </w:rPr>
              <w:t>Вижте използваните количества</w:t>
            </w:r>
          </w:p>
        </w:tc>
      </w:tr>
      <w:tr w:rsidR="008D6E9B" w:rsidRPr="0070774F">
        <w:trPr>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5"/>
            <w:vAlign w:val="center"/>
          </w:tcPr>
          <w:p w:rsidR="008D6E9B" w:rsidRPr="0070774F" w:rsidRDefault="008D6E9B" w:rsidP="009D4C75">
            <w:pPr>
              <w:spacing w:line="240" w:lineRule="auto"/>
              <w:jc w:val="both"/>
              <w:rPr>
                <w:rFonts w:ascii="Arial" w:hAnsi="Arial" w:cs="Arial"/>
                <w:sz w:val="16"/>
                <w:szCs w:val="16"/>
                <w:lang w:val="bg-BG" w:eastAsia="de-DE"/>
              </w:rPr>
            </w:pPr>
            <w:r w:rsidRPr="0070774F">
              <w:rPr>
                <w:rFonts w:ascii="Arial" w:hAnsi="Arial" w:cs="Arial"/>
                <w:sz w:val="16"/>
                <w:szCs w:val="16"/>
                <w:lang w:val="bg-BG"/>
              </w:rPr>
              <w:t>Ирелевантно за защита на селскостопанската почва</w:t>
            </w:r>
          </w:p>
        </w:tc>
      </w:tr>
      <w:tr w:rsidR="008D6E9B" w:rsidRPr="00703017">
        <w:trPr>
          <w:trHeight w:val="252"/>
          <w:jc w:val="center"/>
        </w:trPr>
        <w:tc>
          <w:tcPr>
            <w:tcW w:w="0" w:type="auto"/>
            <w:vMerge w:val="restart"/>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водно-пелагична камера</w:t>
            </w:r>
          </w:p>
        </w:tc>
        <w:tc>
          <w:tcPr>
            <w:tcW w:w="0" w:type="auto"/>
            <w:vAlign w:val="center"/>
          </w:tcPr>
          <w:p w:rsidR="008D6E9B" w:rsidRPr="0070774F" w:rsidRDefault="008D6E9B" w:rsidP="009D4C75">
            <w:pPr>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Вещество</w:t>
            </w:r>
          </w:p>
        </w:tc>
        <w:tc>
          <w:tcPr>
            <w:tcW w:w="0" w:type="auto"/>
            <w:vAlign w:val="center"/>
          </w:tcPr>
          <w:p w:rsidR="008D6E9B" w:rsidRPr="0070774F" w:rsidRDefault="008D6E9B" w:rsidP="009D4C75">
            <w:pPr>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PEC (ug/L)</w:t>
            </w:r>
          </w:p>
        </w:tc>
        <w:tc>
          <w:tcPr>
            <w:tcW w:w="0" w:type="auto"/>
            <w:gridSpan w:val="2"/>
            <w:vAlign w:val="center"/>
          </w:tcPr>
          <w:p w:rsidR="008D6E9B" w:rsidRPr="0070774F" w:rsidRDefault="008D6E9B" w:rsidP="009D4C75">
            <w:pPr>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PNEC (ug/L)</w:t>
            </w:r>
          </w:p>
        </w:tc>
        <w:tc>
          <w:tcPr>
            <w:tcW w:w="0" w:type="auto"/>
            <w:vAlign w:val="center"/>
          </w:tcPr>
          <w:p w:rsidR="008D6E9B" w:rsidRPr="0070774F" w:rsidRDefault="008D6E9B" w:rsidP="009D4C75">
            <w:pPr>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RCR</w:t>
            </w:r>
          </w:p>
        </w:tc>
      </w:tr>
      <w:tr w:rsidR="008D6E9B" w:rsidRPr="00703017">
        <w:trPr>
          <w:trHeight w:val="252"/>
          <w:jc w:val="center"/>
        </w:trPr>
        <w:tc>
          <w:tcPr>
            <w:tcW w:w="0" w:type="auto"/>
            <w:vMerge/>
            <w:vAlign w:val="center"/>
          </w:tcPr>
          <w:p w:rsidR="008D6E9B" w:rsidRPr="00703017" w:rsidRDefault="008D6E9B" w:rsidP="009D4C75">
            <w:pPr>
              <w:spacing w:line="240" w:lineRule="auto"/>
              <w:rPr>
                <w:rFonts w:ascii="Arial" w:hAnsi="Arial" w:cs="Arial"/>
                <w:b/>
                <w:bCs/>
                <w:sz w:val="16"/>
                <w:szCs w:val="16"/>
                <w:lang w:val="bg-BG" w:eastAsia="de-DE"/>
              </w:rPr>
            </w:pPr>
          </w:p>
        </w:tc>
        <w:tc>
          <w:tcPr>
            <w:tcW w:w="0" w:type="auto"/>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CaO</w:t>
            </w:r>
          </w:p>
        </w:tc>
        <w:tc>
          <w:tcPr>
            <w:tcW w:w="0" w:type="auto"/>
            <w:vAlign w:val="center"/>
          </w:tcPr>
          <w:p w:rsidR="008D6E9B" w:rsidRPr="0070774F" w:rsidRDefault="008D6E9B" w:rsidP="009D4C75">
            <w:pPr>
              <w:spacing w:line="240" w:lineRule="auto"/>
              <w:jc w:val="center"/>
              <w:rPr>
                <w:rFonts w:ascii="Arial" w:hAnsi="Arial" w:cs="Arial"/>
                <w:sz w:val="16"/>
                <w:szCs w:val="16"/>
                <w:lang w:val="fr-BE" w:eastAsia="de-DE"/>
              </w:rPr>
            </w:pPr>
            <w:r w:rsidRPr="0070774F">
              <w:rPr>
                <w:rFonts w:ascii="Arial" w:hAnsi="Arial" w:cs="Arial"/>
                <w:sz w:val="16"/>
                <w:szCs w:val="16"/>
                <w:lang w:val="fr-BE"/>
              </w:rPr>
              <w:t>5,66</w:t>
            </w:r>
          </w:p>
        </w:tc>
        <w:tc>
          <w:tcPr>
            <w:tcW w:w="0" w:type="auto"/>
            <w:gridSpan w:val="2"/>
            <w:vAlign w:val="center"/>
          </w:tcPr>
          <w:p w:rsidR="008D6E9B" w:rsidRPr="0070774F" w:rsidRDefault="008D6E9B" w:rsidP="009D4C75">
            <w:pPr>
              <w:spacing w:line="240" w:lineRule="auto"/>
              <w:jc w:val="center"/>
              <w:rPr>
                <w:rFonts w:ascii="Arial" w:hAnsi="Arial" w:cs="Arial"/>
                <w:sz w:val="16"/>
                <w:szCs w:val="16"/>
                <w:lang w:val="fr-BE" w:eastAsia="de-DE"/>
              </w:rPr>
            </w:pPr>
            <w:r w:rsidRPr="0070774F">
              <w:rPr>
                <w:rFonts w:ascii="Arial" w:hAnsi="Arial" w:cs="Arial"/>
                <w:sz w:val="16"/>
                <w:szCs w:val="16"/>
                <w:lang w:val="fr-BE"/>
              </w:rPr>
              <w:t>370</w:t>
            </w:r>
          </w:p>
        </w:tc>
        <w:tc>
          <w:tcPr>
            <w:tcW w:w="0" w:type="auto"/>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0</w:t>
            </w:r>
            <w:r w:rsidRPr="0070774F">
              <w:rPr>
                <w:rFonts w:ascii="Arial" w:hAnsi="Arial" w:cs="Arial"/>
                <w:sz w:val="16"/>
                <w:szCs w:val="16"/>
                <w:lang w:val="de-DE"/>
              </w:rPr>
              <w:t>,</w:t>
            </w:r>
            <w:r w:rsidRPr="0070774F">
              <w:rPr>
                <w:rFonts w:ascii="Arial" w:hAnsi="Arial" w:cs="Arial"/>
                <w:sz w:val="16"/>
                <w:szCs w:val="16"/>
                <w:lang w:val="bg-BG"/>
              </w:rPr>
              <w:t>015</w:t>
            </w:r>
          </w:p>
        </w:tc>
      </w:tr>
      <w:tr w:rsidR="008D6E9B" w:rsidRPr="0070774F">
        <w:trPr>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5"/>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Както беше описано по-горе, не се очаква експозиция на повърхностните води, нито на седиментите. Нещо повече, в естествените води хидроксидните йони влизат в реакция с HCO3–, в резултатна която се получава вода и CO32-. CO32- поражда CaCO3 чрез реакция с Ca2+. Калциевият карбонат се утаява и се отлага като седимент. Калциевият карбонат е слабо разтворим и е съставна част на естествената почва.</w:t>
            </w:r>
          </w:p>
        </w:tc>
      </w:tr>
      <w:tr w:rsidR="008D6E9B" w:rsidRPr="00703017">
        <w:trPr>
          <w:cantSplit/>
          <w:trHeight w:val="66"/>
          <w:jc w:val="center"/>
        </w:trPr>
        <w:tc>
          <w:tcPr>
            <w:tcW w:w="0" w:type="auto"/>
            <w:vMerge w:val="restart"/>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Вещество</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PEC (mg/L)</w:t>
            </w:r>
          </w:p>
        </w:tc>
        <w:tc>
          <w:tcPr>
            <w:tcW w:w="0" w:type="auto"/>
            <w:gridSpan w:val="2"/>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PNEC (mg/L)</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RCR</w:t>
            </w:r>
          </w:p>
        </w:tc>
      </w:tr>
      <w:tr w:rsidR="008D6E9B" w:rsidRPr="00703017">
        <w:trPr>
          <w:cantSplit/>
          <w:trHeight w:val="266"/>
          <w:jc w:val="center"/>
        </w:trPr>
        <w:tc>
          <w:tcPr>
            <w:tcW w:w="0" w:type="auto"/>
            <w:vMerge/>
            <w:vAlign w:val="center"/>
          </w:tcPr>
          <w:p w:rsidR="008D6E9B" w:rsidRPr="00703017" w:rsidRDefault="008D6E9B" w:rsidP="009D4C75">
            <w:pPr>
              <w:keepNext/>
              <w:spacing w:line="240" w:lineRule="auto"/>
              <w:rPr>
                <w:rFonts w:ascii="Arial" w:hAnsi="Arial" w:cs="Arial"/>
                <w:b/>
                <w:bCs/>
                <w:sz w:val="16"/>
                <w:szCs w:val="16"/>
                <w:lang w:val="bg-BG" w:eastAsia="de-DE"/>
              </w:rPr>
            </w:pPr>
          </w:p>
        </w:tc>
        <w:tc>
          <w:tcPr>
            <w:tcW w:w="0" w:type="auto"/>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CaO</w:t>
            </w:r>
          </w:p>
        </w:tc>
        <w:tc>
          <w:tcPr>
            <w:tcW w:w="0" w:type="auto"/>
            <w:vAlign w:val="center"/>
          </w:tcPr>
          <w:p w:rsidR="008D6E9B" w:rsidRPr="0070774F" w:rsidRDefault="008D6E9B" w:rsidP="009D4C75">
            <w:pPr>
              <w:keepNext/>
              <w:spacing w:line="240" w:lineRule="auto"/>
              <w:jc w:val="center"/>
              <w:rPr>
                <w:rFonts w:ascii="Arial" w:hAnsi="Arial" w:cs="Arial"/>
                <w:sz w:val="16"/>
                <w:szCs w:val="16"/>
                <w:lang w:val="fr-BE" w:eastAsia="de-DE"/>
              </w:rPr>
            </w:pPr>
            <w:r w:rsidRPr="0070774F">
              <w:rPr>
                <w:rFonts w:ascii="Arial" w:hAnsi="Arial" w:cs="Arial"/>
                <w:sz w:val="16"/>
                <w:szCs w:val="16"/>
                <w:lang w:val="fr-BE"/>
              </w:rPr>
              <w:t>500</w:t>
            </w:r>
          </w:p>
        </w:tc>
        <w:tc>
          <w:tcPr>
            <w:tcW w:w="0" w:type="auto"/>
            <w:gridSpan w:val="2"/>
            <w:vAlign w:val="center"/>
          </w:tcPr>
          <w:p w:rsidR="008D6E9B" w:rsidRPr="0070774F" w:rsidRDefault="008D6E9B" w:rsidP="009D4C75">
            <w:pPr>
              <w:keepNext/>
              <w:spacing w:line="240" w:lineRule="auto"/>
              <w:jc w:val="center"/>
              <w:rPr>
                <w:rFonts w:ascii="Arial" w:hAnsi="Arial" w:cs="Arial"/>
                <w:sz w:val="16"/>
                <w:szCs w:val="16"/>
                <w:lang w:val="fr-BE" w:eastAsia="de-DE"/>
              </w:rPr>
            </w:pPr>
            <w:r w:rsidRPr="0070774F">
              <w:rPr>
                <w:rFonts w:ascii="Arial" w:hAnsi="Arial" w:cs="Arial"/>
                <w:sz w:val="16"/>
                <w:szCs w:val="16"/>
                <w:lang w:val="fr-BE"/>
              </w:rPr>
              <w:t>816</w:t>
            </w:r>
          </w:p>
        </w:tc>
        <w:tc>
          <w:tcPr>
            <w:tcW w:w="0" w:type="auto"/>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0</w:t>
            </w:r>
            <w:r w:rsidRPr="0070774F">
              <w:rPr>
                <w:rFonts w:ascii="Arial" w:hAnsi="Arial" w:cs="Arial"/>
                <w:sz w:val="16"/>
                <w:szCs w:val="16"/>
                <w:lang w:val="de-DE"/>
              </w:rPr>
              <w:t>,</w:t>
            </w:r>
            <w:r w:rsidRPr="0070774F">
              <w:rPr>
                <w:rFonts w:ascii="Arial" w:hAnsi="Arial" w:cs="Arial"/>
                <w:sz w:val="16"/>
                <w:szCs w:val="16"/>
                <w:lang w:val="bg-BG"/>
              </w:rPr>
              <w:t>61</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5"/>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Тази точка е ирелевантна. CaO не е летливо. Парното налягане е под 10</w:t>
            </w:r>
            <w:r w:rsidRPr="0070774F">
              <w:rPr>
                <w:rFonts w:ascii="Arial" w:hAnsi="Arial" w:cs="Arial"/>
                <w:sz w:val="16"/>
                <w:szCs w:val="16"/>
                <w:vertAlign w:val="superscript"/>
                <w:lang w:val="bg-BG"/>
              </w:rPr>
              <w:t>–5</w:t>
            </w:r>
            <w:r w:rsidRPr="0070774F">
              <w:rPr>
                <w:rFonts w:ascii="Arial" w:hAnsi="Arial" w:cs="Arial"/>
                <w:sz w:val="16"/>
                <w:szCs w:val="16"/>
                <w:lang w:val="bg-BG"/>
              </w:rPr>
              <w:t xml:space="preserve"> Pa.</w:t>
            </w:r>
          </w:p>
        </w:tc>
      </w:tr>
      <w:tr w:rsidR="008D6E9B" w:rsidRPr="0070774F">
        <w:trPr>
          <w:cantSplit/>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lastRenderedPageBreak/>
              <w:t>Концентрация на експозицията, засягаща хранителната верига (вторично отравяне)</w:t>
            </w:r>
          </w:p>
        </w:tc>
        <w:tc>
          <w:tcPr>
            <w:tcW w:w="0" w:type="auto"/>
            <w:gridSpan w:val="5"/>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Тази точка е ирелевантна, понеже CaO могат са се приемат за присъстващи навсякъде и основни в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D6E9B" w:rsidRPr="0070774F">
        <w:trPr>
          <w:trHeight w:val="315"/>
          <w:jc w:val="center"/>
        </w:trPr>
        <w:tc>
          <w:tcPr>
            <w:tcW w:w="0" w:type="auto"/>
            <w:gridSpan w:val="6"/>
            <w:shd w:val="clear" w:color="000000" w:fill="C0C0C0"/>
            <w:vAlign w:val="center"/>
          </w:tcPr>
          <w:p w:rsidR="008D6E9B" w:rsidRPr="0070774F" w:rsidRDefault="008D6E9B" w:rsidP="009D4C75">
            <w:pPr>
              <w:keepNext/>
              <w:spacing w:line="240" w:lineRule="auto"/>
              <w:jc w:val="both"/>
              <w:rPr>
                <w:rFonts w:ascii="Arial" w:hAnsi="Arial" w:cs="Arial"/>
                <w:b/>
                <w:bCs/>
                <w:color w:val="0000FF"/>
                <w:sz w:val="16"/>
                <w:szCs w:val="16"/>
                <w:lang w:val="bg-BG" w:eastAsia="de-DE"/>
              </w:rPr>
            </w:pPr>
            <w:r w:rsidRPr="0070774F">
              <w:rPr>
                <w:rFonts w:ascii="Arial" w:hAnsi="Arial" w:cs="Arial"/>
                <w:b/>
                <w:bCs/>
                <w:color w:val="0000FF"/>
                <w:sz w:val="16"/>
                <w:szCs w:val="16"/>
                <w:lang w:val="bg-BG"/>
              </w:rPr>
              <w:t>Експозицията за околната среда – третиране на почвата в гражданското строителство</w:t>
            </w:r>
          </w:p>
        </w:tc>
      </w:tr>
      <w:tr w:rsidR="008D6E9B" w:rsidRPr="0070774F">
        <w:trPr>
          <w:cantSplit/>
          <w:trHeight w:val="301"/>
          <w:jc w:val="center"/>
        </w:trPr>
        <w:tc>
          <w:tcPr>
            <w:tcW w:w="0" w:type="auto"/>
            <w:gridSpan w:val="6"/>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Сценарият за третиране на почвата в гражданското строителство се основава на сценария за границата на пътя. На специална техническа среща за границата на пътя (Испра, 5 септември 2003 г.), Страните-членки на ЕС и представителите на бранша приеха дефиниция за „техносферата на пътя“. Техносферата на пътя може да се определи като „инженерната среда, която изпълнява геотехническите функции на пътя във връзка с неговата конструкция, експлоатация и поддръжка, вкл. инсталациите за осигуряване на неговата безопасност и управление на оттичащите се води. Тази техно сфера, която включва твърдия и мекия банкет на пътя, вертикално се определя от водоносния хоризонт. Пътните власти носят отговорността за тази пътна техносфера, в т.ч. и за пътната безопасност, укрепването на пътя, предотвратяване на замърсяването и управление на водите“. Следователно пътната техносфера е изключена от крайната оценка на риска за целите на съществуващите/новите разпоредби за веществата. Таргет зоната е зоната извън техносферата, за която се отнася оценката на риска за околната среда.</w:t>
            </w:r>
          </w:p>
          <w:p w:rsidR="008D6E9B" w:rsidRPr="0070774F" w:rsidRDefault="008D6E9B" w:rsidP="009D4C75">
            <w:pPr>
              <w:spacing w:line="240" w:lineRule="auto"/>
              <w:rPr>
                <w:rFonts w:ascii="Arial" w:hAnsi="Arial" w:cs="Arial"/>
                <w:sz w:val="16"/>
                <w:szCs w:val="16"/>
                <w:lang w:val="bg-BG" w:eastAsia="de-DE"/>
              </w:rPr>
            </w:pPr>
          </w:p>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Изчислението PEC за почвите се основава на групата почви FOCUS (FOCUS, 1996) и на проекто-ръководството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(Kloskowksi et al.,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биоцидни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w:t>
            </w:r>
          </w:p>
        </w:tc>
      </w:tr>
      <w:tr w:rsidR="008D6E9B" w:rsidRPr="00703017">
        <w:trPr>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5"/>
            <w:vAlign w:val="center"/>
          </w:tcPr>
          <w:p w:rsidR="008D6E9B" w:rsidRPr="0070774F" w:rsidRDefault="008D6E9B" w:rsidP="009D4C75">
            <w:pPr>
              <w:spacing w:line="240" w:lineRule="auto"/>
              <w:jc w:val="both"/>
              <w:rPr>
                <w:rFonts w:ascii="Arial" w:hAnsi="Arial" w:cs="Arial"/>
                <w:sz w:val="16"/>
                <w:szCs w:val="16"/>
                <w:lang w:val="bg-BG" w:eastAsia="de-DE"/>
              </w:rPr>
            </w:pPr>
            <w:r w:rsidRPr="0070774F">
              <w:rPr>
                <w:rFonts w:ascii="Arial" w:hAnsi="Arial" w:cs="Arial"/>
                <w:sz w:val="16"/>
                <w:szCs w:val="16"/>
                <w:lang w:val="bg-BG"/>
              </w:rPr>
              <w:t>Вижте използваните количества</w:t>
            </w:r>
          </w:p>
        </w:tc>
      </w:tr>
      <w:tr w:rsidR="008D6E9B" w:rsidRPr="0070774F">
        <w:trPr>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5"/>
            <w:vAlign w:val="center"/>
          </w:tcPr>
          <w:p w:rsidR="008D6E9B" w:rsidRPr="0070774F" w:rsidRDefault="008D6E9B" w:rsidP="009D4C75">
            <w:pPr>
              <w:spacing w:line="240" w:lineRule="auto"/>
              <w:jc w:val="both"/>
              <w:rPr>
                <w:rFonts w:ascii="Arial" w:hAnsi="Arial" w:cs="Arial"/>
                <w:sz w:val="16"/>
                <w:szCs w:val="16"/>
                <w:lang w:val="bg-BG" w:eastAsia="de-DE"/>
              </w:rPr>
            </w:pPr>
            <w:r w:rsidRPr="0070774F">
              <w:rPr>
                <w:rFonts w:ascii="Arial" w:hAnsi="Arial" w:cs="Arial"/>
                <w:sz w:val="16"/>
                <w:szCs w:val="16"/>
                <w:lang w:val="bg-BG"/>
              </w:rPr>
              <w:t>Ирелевантно за сценария за границата на пътя</w:t>
            </w:r>
          </w:p>
        </w:tc>
      </w:tr>
      <w:tr w:rsidR="008D6E9B" w:rsidRPr="0070774F">
        <w:trPr>
          <w:trHeight w:val="68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водно-пелагична камера</w:t>
            </w:r>
          </w:p>
        </w:tc>
        <w:tc>
          <w:tcPr>
            <w:tcW w:w="0" w:type="auto"/>
            <w:gridSpan w:val="5"/>
            <w:vAlign w:val="center"/>
          </w:tcPr>
          <w:p w:rsidR="008D6E9B" w:rsidRPr="0070774F" w:rsidRDefault="008D6E9B" w:rsidP="009D4C75">
            <w:pPr>
              <w:spacing w:line="240" w:lineRule="auto"/>
              <w:jc w:val="both"/>
              <w:rPr>
                <w:rFonts w:ascii="Arial" w:hAnsi="Arial" w:cs="Arial"/>
                <w:b/>
                <w:bCs/>
                <w:sz w:val="16"/>
                <w:szCs w:val="16"/>
                <w:lang w:val="bg-BG" w:eastAsia="de-DE"/>
              </w:rPr>
            </w:pPr>
            <w:r w:rsidRPr="0070774F">
              <w:rPr>
                <w:rFonts w:ascii="Arial" w:hAnsi="Arial" w:cs="Arial"/>
                <w:sz w:val="16"/>
                <w:szCs w:val="16"/>
                <w:lang w:val="bg-BG"/>
              </w:rPr>
              <w:t>Ирелевантно за сценария за границата на пътя</w:t>
            </w:r>
          </w:p>
        </w:tc>
      </w:tr>
      <w:tr w:rsidR="008D6E9B" w:rsidRPr="0070774F">
        <w:trPr>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5"/>
            <w:vAlign w:val="center"/>
          </w:tcPr>
          <w:p w:rsidR="008D6E9B" w:rsidRPr="0070774F" w:rsidRDefault="008D6E9B" w:rsidP="009D4C75">
            <w:pPr>
              <w:spacing w:line="240" w:lineRule="auto"/>
              <w:jc w:val="both"/>
              <w:rPr>
                <w:rFonts w:ascii="Arial" w:hAnsi="Arial" w:cs="Arial"/>
                <w:sz w:val="16"/>
                <w:szCs w:val="16"/>
                <w:lang w:val="bg-BG" w:eastAsia="de-DE"/>
              </w:rPr>
            </w:pPr>
            <w:r w:rsidRPr="0070774F">
              <w:rPr>
                <w:rFonts w:ascii="Arial" w:hAnsi="Arial" w:cs="Arial"/>
                <w:sz w:val="16"/>
                <w:szCs w:val="16"/>
                <w:lang w:val="bg-BG"/>
              </w:rPr>
              <w:t>Ирелевантно за сценария за границата на пътя</w:t>
            </w:r>
          </w:p>
        </w:tc>
      </w:tr>
      <w:tr w:rsidR="008D6E9B" w:rsidRPr="00703017">
        <w:trPr>
          <w:trHeight w:val="286"/>
          <w:jc w:val="center"/>
        </w:trPr>
        <w:tc>
          <w:tcPr>
            <w:tcW w:w="0" w:type="auto"/>
            <w:vMerge w:val="restart"/>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Вещество</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PEC (mg/L)</w:t>
            </w:r>
          </w:p>
        </w:tc>
        <w:tc>
          <w:tcPr>
            <w:tcW w:w="0" w:type="auto"/>
            <w:gridSpan w:val="2"/>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PNEC (mg/L)</w:t>
            </w:r>
          </w:p>
        </w:tc>
        <w:tc>
          <w:tcPr>
            <w:tcW w:w="0" w:type="auto"/>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RCR</w:t>
            </w:r>
          </w:p>
        </w:tc>
      </w:tr>
      <w:tr w:rsidR="008D6E9B" w:rsidRPr="00703017">
        <w:trPr>
          <w:trHeight w:val="266"/>
          <w:jc w:val="center"/>
        </w:trPr>
        <w:tc>
          <w:tcPr>
            <w:tcW w:w="0" w:type="auto"/>
            <w:vMerge/>
            <w:vAlign w:val="center"/>
          </w:tcPr>
          <w:p w:rsidR="008D6E9B" w:rsidRPr="00703017" w:rsidRDefault="008D6E9B" w:rsidP="009D4C75">
            <w:pPr>
              <w:keepNext/>
              <w:spacing w:line="240" w:lineRule="auto"/>
              <w:rPr>
                <w:rFonts w:ascii="Arial" w:hAnsi="Arial" w:cs="Arial"/>
                <w:b/>
                <w:bCs/>
                <w:sz w:val="16"/>
                <w:szCs w:val="16"/>
                <w:lang w:val="bg-BG" w:eastAsia="de-DE"/>
              </w:rPr>
            </w:pPr>
          </w:p>
        </w:tc>
        <w:tc>
          <w:tcPr>
            <w:tcW w:w="0" w:type="auto"/>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CaO</w:t>
            </w:r>
          </w:p>
        </w:tc>
        <w:tc>
          <w:tcPr>
            <w:tcW w:w="0" w:type="auto"/>
            <w:vAlign w:val="center"/>
          </w:tcPr>
          <w:p w:rsidR="008D6E9B" w:rsidRPr="0070774F" w:rsidRDefault="008D6E9B" w:rsidP="009D4C75">
            <w:pPr>
              <w:keepNext/>
              <w:spacing w:line="240" w:lineRule="auto"/>
              <w:jc w:val="center"/>
              <w:rPr>
                <w:rFonts w:ascii="Arial" w:hAnsi="Arial" w:cs="Arial"/>
                <w:sz w:val="16"/>
                <w:szCs w:val="16"/>
                <w:lang w:val="fr-BE" w:eastAsia="de-DE"/>
              </w:rPr>
            </w:pPr>
            <w:r w:rsidRPr="0070774F">
              <w:rPr>
                <w:rFonts w:ascii="Arial" w:hAnsi="Arial" w:cs="Arial"/>
                <w:sz w:val="16"/>
                <w:szCs w:val="16"/>
                <w:lang w:val="fr-BE"/>
              </w:rPr>
              <w:t>529</w:t>
            </w:r>
          </w:p>
        </w:tc>
        <w:tc>
          <w:tcPr>
            <w:tcW w:w="0" w:type="auto"/>
            <w:gridSpan w:val="2"/>
            <w:vAlign w:val="center"/>
          </w:tcPr>
          <w:p w:rsidR="008D6E9B" w:rsidRPr="0070774F" w:rsidRDefault="008D6E9B" w:rsidP="009D4C75">
            <w:pPr>
              <w:keepNext/>
              <w:spacing w:line="240" w:lineRule="auto"/>
              <w:jc w:val="center"/>
              <w:rPr>
                <w:rFonts w:ascii="Arial" w:hAnsi="Arial" w:cs="Arial"/>
                <w:sz w:val="16"/>
                <w:szCs w:val="16"/>
                <w:lang w:val="fr-BE" w:eastAsia="de-DE"/>
              </w:rPr>
            </w:pPr>
            <w:r w:rsidRPr="0070774F">
              <w:rPr>
                <w:rFonts w:ascii="Arial" w:hAnsi="Arial" w:cs="Arial"/>
                <w:sz w:val="16"/>
                <w:szCs w:val="16"/>
                <w:lang w:val="fr-BE"/>
              </w:rPr>
              <w:t>816</w:t>
            </w:r>
          </w:p>
        </w:tc>
        <w:tc>
          <w:tcPr>
            <w:tcW w:w="0" w:type="auto"/>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0</w:t>
            </w:r>
            <w:r w:rsidRPr="0070774F">
              <w:rPr>
                <w:rFonts w:ascii="Arial" w:hAnsi="Arial" w:cs="Arial"/>
                <w:sz w:val="16"/>
                <w:szCs w:val="16"/>
                <w:lang w:val="de-DE"/>
              </w:rPr>
              <w:t>,</w:t>
            </w:r>
            <w:r w:rsidRPr="0070774F">
              <w:rPr>
                <w:rFonts w:ascii="Arial" w:hAnsi="Arial" w:cs="Arial"/>
                <w:sz w:val="16"/>
                <w:szCs w:val="16"/>
                <w:lang w:val="bg-BG"/>
              </w:rPr>
              <w:t>65</w:t>
            </w:r>
          </w:p>
        </w:tc>
      </w:tr>
      <w:tr w:rsidR="008D6E9B" w:rsidRPr="0070774F">
        <w:trPr>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5"/>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Тази точка е ирелевантна. CaO не е летливо. Парното налягане е под 10</w:t>
            </w:r>
            <w:r w:rsidRPr="0070774F">
              <w:rPr>
                <w:rFonts w:ascii="Arial" w:hAnsi="Arial" w:cs="Arial"/>
                <w:sz w:val="16"/>
                <w:szCs w:val="16"/>
                <w:vertAlign w:val="superscript"/>
                <w:lang w:val="bg-BG"/>
              </w:rPr>
              <w:t>–5</w:t>
            </w:r>
            <w:r w:rsidRPr="0070774F">
              <w:rPr>
                <w:rFonts w:ascii="Arial" w:hAnsi="Arial" w:cs="Arial"/>
                <w:sz w:val="16"/>
                <w:szCs w:val="16"/>
                <w:lang w:val="bg-BG"/>
              </w:rPr>
              <w:t xml:space="preserve"> Pa.</w:t>
            </w:r>
          </w:p>
        </w:tc>
      </w:tr>
      <w:tr w:rsidR="008D6E9B" w:rsidRPr="0070774F">
        <w:trPr>
          <w:trHeight w:val="301"/>
          <w:jc w:val="center"/>
        </w:trPr>
        <w:tc>
          <w:tcPr>
            <w:tcW w:w="0" w:type="auto"/>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5"/>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 понеже калцият може да се приеме за присъстващ навсякъде и основен елемент на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D6E9B" w:rsidRPr="0070774F">
        <w:trPr>
          <w:trHeight w:val="315"/>
          <w:jc w:val="center"/>
        </w:trPr>
        <w:tc>
          <w:tcPr>
            <w:tcW w:w="0" w:type="auto"/>
            <w:gridSpan w:val="6"/>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 при други начини на употреба</w:t>
            </w:r>
          </w:p>
        </w:tc>
      </w:tr>
      <w:tr w:rsidR="008D6E9B" w:rsidRPr="0070774F">
        <w:trPr>
          <w:cantSplit/>
          <w:trHeight w:val="301"/>
          <w:jc w:val="center"/>
        </w:trPr>
        <w:tc>
          <w:tcPr>
            <w:tcW w:w="0" w:type="auto"/>
            <w:gridSpan w:val="6"/>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За всички други начини на употреба не се извършва количествена оценка на експозицията за околната среда, понеже</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Работни условия и мерките за управление на риска не са толкова строги, както при защита на селскостопанската почва или третирането на почвата при гражданското строителство</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Варта е ингредиент и химически е свързана в матрица. Отделянията са незначителни и недостатъчни да предизвикат промяна на pH в почвата, отходните и повърхностните води</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Варта се използва специално за отделяне на свободен от CO2 въздух за дишане, при реакция с CO2. Този начин на употреба се отнася само до въздушния компонент на околната среда, където се използват характеристиките на варта </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Неутрализацията/промяната на pH е целта на процеса и не се наблюдават допълнителни, нежелателни въздействия. </w:t>
            </w:r>
          </w:p>
        </w:tc>
      </w:tr>
      <w:tr w:rsidR="008D6E9B" w:rsidRPr="0070774F">
        <w:trPr>
          <w:trHeight w:val="315"/>
          <w:jc w:val="center"/>
        </w:trPr>
        <w:tc>
          <w:tcPr>
            <w:tcW w:w="0" w:type="auto"/>
            <w:gridSpan w:val="6"/>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 xml:space="preserve">4. Ръководство за </w:t>
            </w:r>
            <w:r>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D6E9B" w:rsidRPr="0070774F">
        <w:trPr>
          <w:cantSplit/>
          <w:trHeight w:val="1310"/>
          <w:jc w:val="center"/>
        </w:trPr>
        <w:tc>
          <w:tcPr>
            <w:tcW w:w="0" w:type="auto"/>
            <w:gridSpan w:val="6"/>
            <w:vAlign w:val="center"/>
          </w:tcPr>
          <w:p w:rsidR="008D6E9B" w:rsidRPr="00703017" w:rsidRDefault="008D6E9B"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дермалната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скалиращ инструмент, като MEASE (</w:t>
            </w:r>
            <w:hyperlink r:id="rId24"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глосара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w:t>
            </w:r>
            <w:r>
              <w:rPr>
                <w:rFonts w:ascii="Arial" w:hAnsi="Arial" w:cs="Arial"/>
                <w:sz w:val="16"/>
                <w:szCs w:val="16"/>
                <w:lang w:val="bg-BG"/>
              </w:rPr>
              <w:t>а със запрашеност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D6E9B" w:rsidRPr="00703017" w:rsidRDefault="008D6E9B" w:rsidP="009D4C75">
            <w:pPr>
              <w:spacing w:before="60" w:after="60" w:line="240" w:lineRule="auto"/>
              <w:rPr>
                <w:rFonts w:ascii="Arial" w:hAnsi="Arial" w:cs="Arial"/>
                <w:sz w:val="20"/>
                <w:szCs w:val="20"/>
                <w:lang w:val="bg-BG" w:eastAsia="de-DE"/>
              </w:rPr>
            </w:pPr>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r w:rsidRPr="00703017">
              <w:rPr>
                <w:rFonts w:ascii="Arial" w:hAnsi="Arial" w:cs="Arial"/>
                <w:sz w:val="20"/>
                <w:szCs w:val="20"/>
                <w:lang w:val="bg-BG"/>
              </w:rPr>
              <w:t>:</w:t>
            </w:r>
            <w:r w:rsidRPr="00703017">
              <w:rPr>
                <w:rFonts w:ascii="Arial" w:hAnsi="Arial" w:cs="Arial"/>
                <w:sz w:val="20"/>
                <w:szCs w:val="20"/>
                <w:lang w:val="bg-BG"/>
              </w:rPr>
              <w:tab/>
              <w:t>1 mg/m³ (като вдишван прах)</w:t>
            </w:r>
          </w:p>
          <w:p w:rsidR="008D6E9B" w:rsidRPr="00703017" w:rsidRDefault="008D6E9B" w:rsidP="009D4C75">
            <w:pPr>
              <w:tabs>
                <w:tab w:val="left" w:pos="1701"/>
              </w:tabs>
              <w:spacing w:before="60" w:after="60" w:line="240" w:lineRule="auto"/>
              <w:rPr>
                <w:rFonts w:ascii="Arial" w:hAnsi="Arial" w:cs="Arial"/>
                <w:sz w:val="20"/>
                <w:szCs w:val="20"/>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mg/m³.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bl>
    <w:p w:rsidR="008D6E9B" w:rsidRPr="00703017" w:rsidRDefault="008D6E9B" w:rsidP="003F243A">
      <w:pPr>
        <w:rPr>
          <w:lang w:val="bg-BG"/>
        </w:rPr>
      </w:pPr>
    </w:p>
    <w:p w:rsidR="008D6E9B" w:rsidRPr="00703017" w:rsidRDefault="008D6E9B" w:rsidP="000F00A4">
      <w:pPr>
        <w:keepNext/>
        <w:spacing w:before="120" w:after="60" w:line="240" w:lineRule="auto"/>
        <w:rPr>
          <w:rFonts w:ascii="Arial" w:hAnsi="Arial" w:cs="Arial"/>
          <w:b/>
          <w:bCs/>
          <w:sz w:val="20"/>
          <w:szCs w:val="20"/>
          <w:lang w:val="bg-BG"/>
        </w:rPr>
        <w:sectPr w:rsidR="008D6E9B" w:rsidRPr="00703017" w:rsidSect="006A0CE4">
          <w:headerReference w:type="default" r:id="rId25"/>
          <w:footerReference w:type="default" r:id="rId26"/>
          <w:pgSz w:w="11906" w:h="16838"/>
          <w:pgMar w:top="1417" w:right="1417" w:bottom="1134" w:left="1417" w:header="708" w:footer="708" w:gutter="0"/>
          <w:cols w:space="708"/>
          <w:docGrid w:linePitch="360"/>
        </w:sectPr>
      </w:pPr>
    </w:p>
    <w:p w:rsidR="008D6E9B" w:rsidRPr="00703017" w:rsidRDefault="008D6E9B" w:rsidP="004B205A">
      <w:pPr>
        <w:keepNext/>
        <w:pageBreakBefore/>
        <w:tabs>
          <w:tab w:val="left" w:pos="1418"/>
        </w:tabs>
        <w:spacing w:before="240" w:after="60"/>
        <w:outlineLvl w:val="1"/>
        <w:rPr>
          <w:rFonts w:ascii="Arial" w:hAnsi="Arial" w:cs="Arial"/>
          <w:b/>
          <w:bCs/>
          <w:sz w:val="28"/>
          <w:szCs w:val="28"/>
          <w:lang w:val="bg-BG"/>
        </w:rPr>
      </w:pPr>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7: Професионална употреба на ниско запрашени твърди/прахообразни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p>
    <w:tbl>
      <w:tblPr>
        <w:tblW w:w="0" w:type="auto"/>
        <w:jc w:val="center"/>
        <w:tblCellMar>
          <w:left w:w="70" w:type="dxa"/>
          <w:right w:w="70" w:type="dxa"/>
        </w:tblCellMar>
        <w:tblLook w:val="00A0" w:firstRow="1" w:lastRow="0" w:firstColumn="1" w:lastColumn="0" w:noHBand="0" w:noVBand="0"/>
      </w:tblPr>
      <w:tblGrid>
        <w:gridCol w:w="1543"/>
        <w:gridCol w:w="2466"/>
        <w:gridCol w:w="1430"/>
        <w:gridCol w:w="872"/>
        <w:gridCol w:w="783"/>
        <w:gridCol w:w="1958"/>
      </w:tblGrid>
      <w:tr w:rsidR="008D6E9B" w:rsidRPr="0070774F">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D6E9B" w:rsidRPr="0070774F">
        <w:trPr>
          <w:trHeight w:val="315"/>
          <w:jc w:val="center"/>
        </w:trPr>
        <w:tc>
          <w:tcPr>
            <w:tcW w:w="0" w:type="auto"/>
            <w:tcBorders>
              <w:top w:val="nil"/>
              <w:left w:val="single" w:sz="8" w:space="0" w:color="auto"/>
              <w:bottom w:val="single" w:sz="4" w:space="0" w:color="auto"/>
              <w:right w:val="single" w:sz="4"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5"/>
            <w:tcBorders>
              <w:top w:val="single" w:sz="8" w:space="0" w:color="auto"/>
              <w:left w:val="single" w:sz="4" w:space="0" w:color="auto"/>
              <w:bottom w:val="single" w:sz="4" w:space="0" w:color="auto"/>
              <w:right w:val="single" w:sz="8"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Професионална употреба на ниско запрашени твърди/прахообразни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D6E9B" w:rsidRPr="0070774F">
        <w:trPr>
          <w:trHeight w:val="1349"/>
          <w:jc w:val="center"/>
        </w:trPr>
        <w:tc>
          <w:tcPr>
            <w:tcW w:w="0" w:type="auto"/>
            <w:tcBorders>
              <w:top w:val="single" w:sz="4" w:space="0" w:color="auto"/>
              <w:left w:val="single" w:sz="8" w:space="0" w:color="auto"/>
              <w:bottom w:val="single" w:sz="4" w:space="0" w:color="auto"/>
              <w:right w:val="single" w:sz="4"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5"/>
            <w:tcBorders>
              <w:top w:val="single" w:sz="4" w:space="0" w:color="auto"/>
              <w:left w:val="single" w:sz="4" w:space="0" w:color="auto"/>
              <w:bottom w:val="single" w:sz="4" w:space="0" w:color="auto"/>
              <w:right w:val="single" w:sz="8"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SU22, SU1, SU5, SU6a, SU6b, SU7, SU10, SU11, SU12, SU13, SU16, SU17, SU18, SU19, SU20, SU23, SU24</w:t>
            </w:r>
            <w:r w:rsidRPr="00703017">
              <w:rPr>
                <w:lang w:val="bg-BG"/>
              </w:rPr>
              <w:br/>
            </w:r>
            <w:r w:rsidRPr="00703017">
              <w:rPr>
                <w:rFonts w:ascii="Arial" w:hAnsi="Arial" w:cs="Arial"/>
                <w:sz w:val="16"/>
                <w:szCs w:val="16"/>
                <w:lang w:val="bg-BG"/>
              </w:rPr>
              <w:t>PC1, PC2, PC3, PC7, PC8, PC9a, PC9b, PC11, PC12, PC13, PC14, PC15, PC16, PC17, PC18, PC19, PC20, PC21, PC23, PC24, PC25, PC26, PC27, PC28, PC29, PC30, PC31, PC32, PC33, PC34, PC35, PC36, PC37, PC39, PC40</w:t>
            </w:r>
            <w:r w:rsidRPr="00703017">
              <w:rPr>
                <w:lang w:val="bg-BG"/>
              </w:rPr>
              <w:br/>
            </w:r>
            <w:r w:rsidRPr="00703017">
              <w:rPr>
                <w:rFonts w:ascii="Arial" w:hAnsi="Arial" w:cs="Arial"/>
                <w:sz w:val="16"/>
                <w:szCs w:val="16"/>
                <w:lang w:val="bg-BG"/>
              </w:rPr>
              <w:t>AC1, AC2, AC3, AC4, AC5, AC6, AC7, AC8, AC10, AC11, AC13</w:t>
            </w:r>
          </w:p>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D6E9B" w:rsidRPr="0070774F">
        <w:trPr>
          <w:trHeight w:val="525"/>
          <w:jc w:val="center"/>
        </w:trPr>
        <w:tc>
          <w:tcPr>
            <w:tcW w:w="0" w:type="auto"/>
            <w:tcBorders>
              <w:top w:val="single" w:sz="4" w:space="0" w:color="auto"/>
              <w:left w:val="single" w:sz="8" w:space="0" w:color="auto"/>
              <w:bottom w:val="single" w:sz="4" w:space="0" w:color="auto"/>
              <w:right w:val="single" w:sz="4"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5"/>
            <w:tcBorders>
              <w:top w:val="single" w:sz="4" w:space="0" w:color="auto"/>
              <w:left w:val="single" w:sz="4" w:space="0" w:color="auto"/>
              <w:bottom w:val="single" w:sz="4" w:space="0" w:color="auto"/>
              <w:right w:val="single" w:sz="8"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D6E9B" w:rsidRPr="00703017">
        <w:trPr>
          <w:trHeight w:val="444"/>
          <w:jc w:val="center"/>
        </w:trPr>
        <w:tc>
          <w:tcPr>
            <w:tcW w:w="0" w:type="auto"/>
            <w:tcBorders>
              <w:top w:val="single" w:sz="4" w:space="0" w:color="auto"/>
              <w:left w:val="single" w:sz="8" w:space="0" w:color="auto"/>
              <w:bottom w:val="single" w:sz="8" w:space="0" w:color="auto"/>
              <w:right w:val="single" w:sz="4" w:space="0" w:color="auto"/>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5"/>
            <w:tcBorders>
              <w:top w:val="single" w:sz="4" w:space="0" w:color="auto"/>
              <w:left w:val="single" w:sz="4" w:space="0" w:color="auto"/>
              <w:bottom w:val="single" w:sz="8" w:space="0" w:color="auto"/>
              <w:right w:val="single" w:sz="8"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 Оценката за околната среда се основава на FOCUS-Exposit.</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D6E9B" w:rsidRPr="00703017">
        <w:trPr>
          <w:trHeight w:val="315"/>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PROC/ERC</w:t>
            </w:r>
          </w:p>
        </w:tc>
        <w:tc>
          <w:tcPr>
            <w:tcW w:w="4401" w:type="dxa"/>
            <w:gridSpan w:val="3"/>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3188" w:type="dxa"/>
            <w:gridSpan w:val="2"/>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w:t>
            </w:r>
          </w:p>
        </w:tc>
        <w:tc>
          <w:tcPr>
            <w:tcW w:w="4401" w:type="dxa"/>
            <w:gridSpan w:val="3"/>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непрекъснат процес със случайно контролирана експозиция</w:t>
            </w:r>
          </w:p>
        </w:tc>
        <w:tc>
          <w:tcPr>
            <w:tcW w:w="3188" w:type="dxa"/>
            <w:gridSpan w:val="2"/>
            <w:vMerge w:val="restart"/>
            <w:tcBorders>
              <w:top w:val="single" w:sz="4" w:space="0" w:color="000000"/>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Повече информация е представена в Ръководството ECHA за информационните изисквания и оценка на безопасността на химичните вещаства, Глава R.12: Дескрипторна система на употребите (ECHA-2010-G-05-EN).</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3</w:t>
            </w:r>
          </w:p>
        </w:tc>
        <w:tc>
          <w:tcPr>
            <w:tcW w:w="4401" w:type="dxa"/>
            <w:gridSpan w:val="3"/>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периодичен процес (синтез или формулиране)</w:t>
            </w:r>
          </w:p>
        </w:tc>
        <w:tc>
          <w:tcPr>
            <w:tcW w:w="3188" w:type="dxa"/>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w:t>
            </w:r>
          </w:p>
        </w:tc>
        <w:tc>
          <w:tcPr>
            <w:tcW w:w="4401" w:type="dxa"/>
            <w:gridSpan w:val="3"/>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периодичен или друг процес (синтез), където се появява възможност за експозиция</w:t>
            </w:r>
          </w:p>
        </w:tc>
        <w:tc>
          <w:tcPr>
            <w:tcW w:w="3188" w:type="dxa"/>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5</w:t>
            </w:r>
          </w:p>
        </w:tc>
        <w:tc>
          <w:tcPr>
            <w:tcW w:w="4401" w:type="dxa"/>
            <w:gridSpan w:val="3"/>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Смесване или блендиране в периодичен процес за формулиране на препарати и изделия (многостепенен и/или значителен контакт)</w:t>
            </w:r>
          </w:p>
        </w:tc>
        <w:tc>
          <w:tcPr>
            <w:tcW w:w="3188" w:type="dxa"/>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8a</w:t>
            </w:r>
          </w:p>
        </w:tc>
        <w:tc>
          <w:tcPr>
            <w:tcW w:w="4401" w:type="dxa"/>
            <w:gridSpan w:val="3"/>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общи съоръжения</w:t>
            </w:r>
          </w:p>
        </w:tc>
        <w:tc>
          <w:tcPr>
            <w:tcW w:w="3188" w:type="dxa"/>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8b</w:t>
            </w:r>
          </w:p>
        </w:tc>
        <w:tc>
          <w:tcPr>
            <w:tcW w:w="4401" w:type="dxa"/>
            <w:gridSpan w:val="3"/>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специални съоръжения</w:t>
            </w:r>
          </w:p>
        </w:tc>
        <w:tc>
          <w:tcPr>
            <w:tcW w:w="3188" w:type="dxa"/>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9</w:t>
            </w:r>
          </w:p>
        </w:tc>
        <w:tc>
          <w:tcPr>
            <w:tcW w:w="4401" w:type="dxa"/>
            <w:gridSpan w:val="3"/>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в малки контейнери (специална линия за пълнене, включително претегляне)</w:t>
            </w:r>
          </w:p>
        </w:tc>
        <w:tc>
          <w:tcPr>
            <w:tcW w:w="3188" w:type="dxa"/>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10</w:t>
            </w:r>
          </w:p>
        </w:tc>
        <w:tc>
          <w:tcPr>
            <w:tcW w:w="4401" w:type="dxa"/>
            <w:gridSpan w:val="3"/>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Нанасяне с валяк или с четка</w:t>
            </w:r>
          </w:p>
        </w:tc>
        <w:tc>
          <w:tcPr>
            <w:tcW w:w="3188" w:type="dxa"/>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11</w:t>
            </w:r>
          </w:p>
        </w:tc>
        <w:tc>
          <w:tcPr>
            <w:tcW w:w="4401" w:type="dxa"/>
            <w:gridSpan w:val="3"/>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Пулверизиране извън промишлена среда</w:t>
            </w:r>
          </w:p>
        </w:tc>
        <w:tc>
          <w:tcPr>
            <w:tcW w:w="3188" w:type="dxa"/>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13</w:t>
            </w:r>
          </w:p>
        </w:tc>
        <w:tc>
          <w:tcPr>
            <w:tcW w:w="4401" w:type="dxa"/>
            <w:gridSpan w:val="3"/>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Третиране на изделия при боядисване чрез потапяне и изливане</w:t>
            </w:r>
          </w:p>
        </w:tc>
        <w:tc>
          <w:tcPr>
            <w:tcW w:w="3188" w:type="dxa"/>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15</w:t>
            </w:r>
          </w:p>
        </w:tc>
        <w:tc>
          <w:tcPr>
            <w:tcW w:w="4401" w:type="dxa"/>
            <w:gridSpan w:val="3"/>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лабораторни реагенти</w:t>
            </w:r>
          </w:p>
        </w:tc>
        <w:tc>
          <w:tcPr>
            <w:tcW w:w="3188" w:type="dxa"/>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16</w:t>
            </w:r>
          </w:p>
        </w:tc>
        <w:tc>
          <w:tcPr>
            <w:tcW w:w="4401" w:type="dxa"/>
            <w:gridSpan w:val="3"/>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материал като горивен източник, очаква се ограничена експозиция към неизгорял продукт</w:t>
            </w:r>
          </w:p>
        </w:tc>
        <w:tc>
          <w:tcPr>
            <w:tcW w:w="3188" w:type="dxa"/>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4401" w:type="dxa"/>
            <w:gridSpan w:val="3"/>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Смазване при високо енергийни условия и в частично открит процес</w:t>
            </w:r>
          </w:p>
        </w:tc>
        <w:tc>
          <w:tcPr>
            <w:tcW w:w="3188" w:type="dxa"/>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18</w:t>
            </w:r>
          </w:p>
        </w:tc>
        <w:tc>
          <w:tcPr>
            <w:tcW w:w="4401" w:type="dxa"/>
            <w:gridSpan w:val="3"/>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Гресиране при високо енергийни условия</w:t>
            </w:r>
          </w:p>
        </w:tc>
        <w:tc>
          <w:tcPr>
            <w:tcW w:w="3188" w:type="dxa"/>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4401" w:type="dxa"/>
            <w:gridSpan w:val="3"/>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Ръчно смесване с близък контакт и налични само ЛПС</w:t>
            </w:r>
          </w:p>
        </w:tc>
        <w:tc>
          <w:tcPr>
            <w:tcW w:w="3188" w:type="dxa"/>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21</w:t>
            </w:r>
          </w:p>
        </w:tc>
        <w:tc>
          <w:tcPr>
            <w:tcW w:w="4401" w:type="dxa"/>
            <w:gridSpan w:val="3"/>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Ниско енергийна манипулация на вещества, свързани в материали и/или изделия</w:t>
            </w:r>
          </w:p>
        </w:tc>
        <w:tc>
          <w:tcPr>
            <w:tcW w:w="3188" w:type="dxa"/>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4401" w:type="dxa"/>
            <w:gridSpan w:val="3"/>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Други горещи работни операции с метали</w:t>
            </w:r>
          </w:p>
        </w:tc>
        <w:tc>
          <w:tcPr>
            <w:tcW w:w="3188" w:type="dxa"/>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8"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26</w:t>
            </w:r>
          </w:p>
        </w:tc>
        <w:tc>
          <w:tcPr>
            <w:tcW w:w="4401" w:type="dxa"/>
            <w:gridSpan w:val="3"/>
            <w:tcBorders>
              <w:top w:val="single" w:sz="4" w:space="0" w:color="000000"/>
              <w:left w:val="nil"/>
              <w:bottom w:val="single" w:sz="8"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Обработка на твърди неорганични вещества при нормална температура на околната среда</w:t>
            </w:r>
          </w:p>
        </w:tc>
        <w:tc>
          <w:tcPr>
            <w:tcW w:w="3188" w:type="dxa"/>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8"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ERC2, ERC8a, ERC8b, ERC8c, ERC8d, ERC8e, ERC8f</w:t>
            </w:r>
          </w:p>
        </w:tc>
        <w:tc>
          <w:tcPr>
            <w:tcW w:w="4401" w:type="dxa"/>
            <w:gridSpan w:val="3"/>
            <w:tcBorders>
              <w:top w:val="single" w:sz="4" w:space="0" w:color="000000"/>
              <w:left w:val="nil"/>
              <w:bottom w:val="single" w:sz="8"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Широко дисперсивна употреба на открито и закрито на реактивни вещества или подобрители на процеса в отворени системи</w:t>
            </w:r>
          </w:p>
        </w:tc>
        <w:tc>
          <w:tcPr>
            <w:tcW w:w="3188" w:type="dxa"/>
            <w:gridSpan w:val="2"/>
            <w:vMerge/>
            <w:tcBorders>
              <w:left w:val="nil"/>
              <w:bottom w:val="single" w:sz="8" w:space="0" w:color="000000"/>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15"/>
          <w:jc w:val="center"/>
        </w:trPr>
        <w:tc>
          <w:tcPr>
            <w:tcW w:w="0" w:type="auto"/>
            <w:gridSpan w:val="6"/>
            <w:tcBorders>
              <w:top w:val="single" w:sz="8" w:space="0" w:color="000000"/>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2.1 Контрол на експозицията на работниците</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trHeight w:val="841"/>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абразивност се взема предвид нивото й, вместо вътрешно присъщия емисионен потенциал на веществото.</w:t>
            </w:r>
          </w:p>
        </w:tc>
      </w:tr>
      <w:tr w:rsidR="008D6E9B" w:rsidRPr="00703017">
        <w:trPr>
          <w:trHeight w:val="301"/>
          <w:jc w:val="center"/>
        </w:trPr>
        <w:tc>
          <w:tcPr>
            <w:tcW w:w="0" w:type="auto"/>
            <w:tcBorders>
              <w:top w:val="nil"/>
              <w:left w:val="single" w:sz="8" w:space="0" w:color="auto"/>
              <w:bottom w:val="single" w:sz="4" w:space="0" w:color="000000"/>
              <w:right w:val="single" w:sz="4" w:space="0" w:color="auto"/>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gridSpan w:val="2"/>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gridSpan w:val="2"/>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r w:rsidRPr="00703017">
              <w:rPr>
                <w:lang w:val="bg-BG"/>
              </w:rPr>
              <w:br/>
            </w:r>
            <w:r w:rsidRPr="00703017">
              <w:rPr>
                <w:rFonts w:ascii="Arial" w:hAnsi="Arial" w:cs="Arial"/>
                <w:sz w:val="16"/>
                <w:szCs w:val="16"/>
                <w:lang w:val="bg-BG"/>
              </w:rPr>
              <w:t>разтопени</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gridSpan w:val="2"/>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ниско</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774F">
        <w:trPr>
          <w:trHeight w:val="673"/>
          <w:jc w:val="center"/>
        </w:trPr>
        <w:tc>
          <w:tcPr>
            <w:tcW w:w="0" w:type="auto"/>
            <w:gridSpan w:val="6"/>
            <w:tcBorders>
              <w:top w:val="single" w:sz="8" w:space="0" w:color="auto"/>
              <w:left w:val="single" w:sz="8" w:space="0" w:color="auto"/>
              <w:bottom w:val="single" w:sz="8" w:space="0" w:color="000000"/>
              <w:right w:val="single" w:sz="8" w:space="0" w:color="000000"/>
            </w:tcBorders>
            <w:vAlign w:val="center"/>
          </w:tcPr>
          <w:p w:rsidR="008D6E9B" w:rsidRPr="00703017" w:rsidRDefault="008D6E9B"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детерминант на вътрешно присъщия на процеса емисионен потенциал.</w:t>
            </w:r>
          </w:p>
        </w:tc>
      </w:tr>
      <w:tr w:rsidR="008D6E9B" w:rsidRPr="0070774F">
        <w:trPr>
          <w:trHeight w:val="315"/>
          <w:jc w:val="center"/>
        </w:trPr>
        <w:tc>
          <w:tcPr>
            <w:tcW w:w="0" w:type="auto"/>
            <w:gridSpan w:val="6"/>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5"/>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0" w:type="auto"/>
            <w:gridSpan w:val="5"/>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5"/>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D6E9B" w:rsidRPr="00703017">
        <w:trPr>
          <w:trHeight w:val="315"/>
          <w:jc w:val="center"/>
        </w:trPr>
        <w:tc>
          <w:tcPr>
            <w:tcW w:w="0" w:type="auto"/>
            <w:gridSpan w:val="6"/>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D6E9B" w:rsidRPr="0070774F">
        <w:trPr>
          <w:trHeight w:val="315"/>
          <w:jc w:val="center"/>
        </w:trPr>
        <w:tc>
          <w:tcPr>
            <w:tcW w:w="0" w:type="auto"/>
            <w:gridSpan w:val="6"/>
            <w:tcBorders>
              <w:top w:val="single" w:sz="4"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Работни условия, като температура и налягане на процеса, се считат за ирелевантни при оценката на професионалната експозиция на извършваните процеси. На етапи на процеса с много висока температура (напр. PROC 22, 23, 25), оценката на експозицията в MEASE обаче се основава и на отношението между температурата на процеса и точката на разтапяне. Тъй като свързаните с процеса температури се различават значително в различните производства, най-високият процент се приема за най-лошия случай на презумпция за целите на оценката на експозицията. По такъв начин всички температури на процеса автоматично се покриват в този сценарий на експозиция за PROC 22, 23 и PROC 25.</w:t>
            </w:r>
          </w:p>
        </w:tc>
      </w:tr>
      <w:tr w:rsidR="008D6E9B" w:rsidRPr="0070774F">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774F">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Измервания на ниво процес като елемент на управлението на риска (напр. задържане или сегрегиране на емисионния източник) по принцип не се изискват при процесите.</w:t>
            </w:r>
          </w:p>
        </w:tc>
      </w:tr>
      <w:tr w:rsidR="008D6E9B" w:rsidRPr="0070774F">
        <w:trPr>
          <w:trHeight w:val="315"/>
          <w:jc w:val="center"/>
        </w:trPr>
        <w:tc>
          <w:tcPr>
            <w:tcW w:w="0" w:type="auto"/>
            <w:gridSpan w:val="6"/>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контрол на дисперсията от източника към работника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tcBorders>
              <w:top w:val="nil"/>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gridSpan w:val="2"/>
            <w:tcBorders>
              <w:top w:val="nil"/>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D6E9B" w:rsidRPr="00703017">
        <w:trPr>
          <w:trHeight w:val="1283"/>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vMerge w:val="restart"/>
            <w:tcBorders>
              <w:top w:val="single" w:sz="4" w:space="0" w:color="auto"/>
              <w:left w:val="nil"/>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Всяко потенциално налагащо се откъсване на работниците от емисионния източник се включва по-горе под надслова </w:t>
            </w:r>
            <w:r>
              <w:rPr>
                <w:rFonts w:ascii="Arial" w:hAnsi="Arial" w:cs="Arial"/>
                <w:sz w:val="16"/>
                <w:szCs w:val="16"/>
                <w:lang w:val="bg-BG"/>
              </w:rPr>
              <w:t>„</w:t>
            </w:r>
            <w:r w:rsidRPr="00703017">
              <w:rPr>
                <w:rFonts w:ascii="Arial" w:hAnsi="Arial" w:cs="Arial"/>
                <w:sz w:val="16"/>
                <w:szCs w:val="16"/>
                <w:lang w:val="bg-BG"/>
              </w:rPr>
              <w:t>Честота и 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Намаляване на продължителността на експозицията може да се постигне, примерно, чрез инсталиране на вентилирани контролни стаи (позитивно налягане) или чрез извеждане на работника от работното място със съответната експозиция.</w:t>
            </w:r>
          </w:p>
        </w:tc>
        <w:tc>
          <w:tcPr>
            <w:tcW w:w="0" w:type="auto"/>
            <w:tcBorders>
              <w:top w:val="single" w:sz="4" w:space="0" w:color="auto"/>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неприложимо</w:t>
            </w:r>
          </w:p>
        </w:tc>
        <w:tc>
          <w:tcPr>
            <w:tcW w:w="0" w:type="auto"/>
            <w:gridSpan w:val="2"/>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1283"/>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Merge/>
            <w:tcBorders>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gridSpan w:val="2"/>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Организационни мерки за предотвратяване/ограничаване на отделянията, дисперсията и експозицията</w:t>
            </w:r>
          </w:p>
        </w:tc>
      </w:tr>
      <w:tr w:rsidR="008D6E9B" w:rsidRPr="0070774F">
        <w:trPr>
          <w:trHeight w:val="882"/>
          <w:jc w:val="center"/>
        </w:trPr>
        <w:tc>
          <w:tcPr>
            <w:tcW w:w="0" w:type="auto"/>
            <w:gridSpan w:val="6"/>
            <w:tcBorders>
              <w:top w:val="single" w:sz="8" w:space="0" w:color="auto"/>
              <w:left w:val="single" w:sz="8" w:space="0" w:color="auto"/>
              <w:bottom w:val="single" w:sz="8"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w:t>
            </w:r>
            <w:r>
              <w:rPr>
                <w:rFonts w:ascii="Arial" w:hAnsi="Arial" w:cs="Arial"/>
                <w:sz w:val="16"/>
                <w:szCs w:val="16"/>
                <w:lang w:val="bg-BG"/>
              </w:rPr>
              <w:t>яна. Не носете заразени дрехи в</w:t>
            </w:r>
            <w:r w:rsidRPr="00703017">
              <w:rPr>
                <w:rFonts w:ascii="Arial" w:hAnsi="Arial" w:cs="Arial"/>
                <w:sz w:val="16"/>
                <w:szCs w:val="16"/>
                <w:lang w:val="bg-BG"/>
              </w:rPr>
              <w:t>къщи. Не издухвайте праха с въздух под налягане.</w:t>
            </w:r>
          </w:p>
        </w:tc>
      </w:tr>
      <w:tr w:rsidR="008D6E9B" w:rsidRPr="0070774F">
        <w:trPr>
          <w:trHeight w:val="315"/>
          <w:jc w:val="center"/>
        </w:trPr>
        <w:tc>
          <w:tcPr>
            <w:tcW w:w="0" w:type="auto"/>
            <w:gridSpan w:val="6"/>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за лична защита, хигиена и оценка на здравето</w:t>
            </w:r>
          </w:p>
        </w:tc>
      </w:tr>
      <w:tr w:rsidR="008D6E9B" w:rsidRPr="0070774F">
        <w:trPr>
          <w:trHeight w:val="301"/>
          <w:jc w:val="center"/>
        </w:trPr>
        <w:tc>
          <w:tcPr>
            <w:tcW w:w="0" w:type="auto"/>
            <w:tcBorders>
              <w:top w:val="nil"/>
              <w:left w:val="single" w:sz="8" w:space="0" w:color="auto"/>
              <w:bottom w:val="single" w:sz="4" w:space="0" w:color="000000"/>
              <w:right w:val="single" w:sz="4" w:space="0" w:color="auto"/>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gridSpan w:val="2"/>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 5, 11, 26</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gridSpan w:val="2"/>
            <w:vMerge w:val="restart"/>
            <w:tcBorders>
              <w:left w:val="nil"/>
              <w:right w:val="single" w:sz="4" w:space="0" w:color="auto"/>
            </w:tcBorders>
            <w:vAlign w:val="center"/>
          </w:tcPr>
          <w:p w:rsidR="008D6E9B" w:rsidRPr="00703017" w:rsidRDefault="008D6E9B" w:rsidP="009D4C75">
            <w:pPr>
              <w:keepNext/>
              <w:jc w:val="center"/>
              <w:rPr>
                <w:rFonts w:ascii="Arial" w:hAnsi="Arial" w:cs="Arial"/>
                <w:sz w:val="16"/>
                <w:szCs w:val="16"/>
                <w:lang w:val="bg-BG" w:eastAsia="de-DE"/>
              </w:rPr>
            </w:pPr>
            <w:r w:rsidRPr="00703017">
              <w:rPr>
                <w:rFonts w:ascii="Arial" w:hAnsi="Arial" w:cs="Arial"/>
                <w:sz w:val="16"/>
                <w:szCs w:val="16"/>
                <w:lang w:val="bg-BG"/>
              </w:rPr>
              <w:t xml:space="preserve">Тъй </w:t>
            </w:r>
            <w:r w:rsidRPr="0070774F">
              <w:rPr>
                <w:rFonts w:ascii="Arial" w:hAnsi="Arial" w:cs="Arial"/>
                <w:sz w:val="16"/>
                <w:szCs w:val="16"/>
                <w:lang w:val="bg-BG"/>
              </w:rPr>
              <w:t>като CaO</w:t>
            </w:r>
            <w:r w:rsidRPr="00703017">
              <w:rPr>
                <w:rFonts w:ascii="Arial" w:hAnsi="Arial" w:cs="Arial"/>
                <w:sz w:val="16"/>
                <w:szCs w:val="16"/>
                <w:lang w:val="bg-BG"/>
              </w:rPr>
              <w:t xml:space="preserve"> е класифицирано като дразнещо кожата, задължителна е употребата на защитни ръкавици на всички етапи на процеса.</w:t>
            </w:r>
          </w:p>
        </w:tc>
        <w:tc>
          <w:tcPr>
            <w:tcW w:w="0" w:type="auto"/>
            <w:vMerge w:val="restart"/>
            <w:tcBorders>
              <w:left w:val="single" w:sz="4" w:space="0" w:color="auto"/>
              <w:right w:val="single" w:sz="8" w:space="0" w:color="000000"/>
            </w:tcBorders>
            <w:vAlign w:val="center"/>
          </w:tcPr>
          <w:p w:rsidR="008D6E9B" w:rsidRPr="00703017" w:rsidRDefault="008D6E9B" w:rsidP="009D4C75">
            <w:pPr>
              <w:keepNext/>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16, 17, 18, 25</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FFP2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APF=10</w:t>
            </w:r>
          </w:p>
        </w:tc>
        <w:tc>
          <w:tcPr>
            <w:tcW w:w="0" w:type="auto"/>
            <w:gridSpan w:val="2"/>
            <w:vMerge/>
            <w:tcBorders>
              <w:left w:val="nil"/>
              <w:right w:val="single" w:sz="4" w:space="0" w:color="auto"/>
            </w:tcBorders>
            <w:vAlign w:val="center"/>
          </w:tcPr>
          <w:p w:rsidR="008D6E9B" w:rsidRPr="00703017" w:rsidRDefault="008D6E9B" w:rsidP="009D4C75">
            <w:pPr>
              <w:keepNext/>
              <w:jc w:val="center"/>
              <w:rPr>
                <w:rFonts w:ascii="Arial" w:hAnsi="Arial" w:cs="Arial"/>
                <w:sz w:val="16"/>
                <w:szCs w:val="16"/>
                <w:lang w:val="bg-BG" w:eastAsia="de-DE"/>
              </w:rPr>
            </w:pPr>
          </w:p>
        </w:tc>
        <w:tc>
          <w:tcPr>
            <w:tcW w:w="0" w:type="auto"/>
            <w:vMerge/>
            <w:tcBorders>
              <w:left w:val="single" w:sz="4" w:space="0" w:color="auto"/>
              <w:right w:val="single" w:sz="8" w:space="0" w:color="000000"/>
            </w:tcBorders>
            <w:vAlign w:val="center"/>
          </w:tcPr>
          <w:p w:rsidR="008D6E9B" w:rsidRPr="00703017" w:rsidRDefault="008D6E9B" w:rsidP="009D4C75">
            <w:pPr>
              <w:keepNext/>
              <w:jc w:val="center"/>
              <w:rPr>
                <w:rFonts w:ascii="Arial" w:hAnsi="Arial" w:cs="Arial"/>
                <w:sz w:val="16"/>
                <w:szCs w:val="16"/>
                <w:lang w:val="bg-BG" w:eastAsia="de-DE"/>
              </w:rPr>
            </w:pP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gridSpan w:val="2"/>
            <w:vMerge/>
            <w:tcBorders>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tcBorders>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454"/>
          <w:jc w:val="center"/>
        </w:trPr>
        <w:tc>
          <w:tcPr>
            <w:tcW w:w="0" w:type="auto"/>
            <w:gridSpan w:val="6"/>
            <w:tcBorders>
              <w:top w:val="nil"/>
              <w:left w:val="single" w:sz="8" w:space="0" w:color="auto"/>
              <w:bottom w:val="single" w:sz="8" w:space="0" w:color="auto"/>
              <w:right w:val="single" w:sz="8" w:space="0" w:color="auto"/>
            </w:tcBorders>
            <w:vAlign w:val="center"/>
          </w:tcPr>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D6E9B" w:rsidRPr="00703017" w:rsidRDefault="008D6E9B"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Общ преглед на APF на различните RPE (съгласно BS EN 529:2005) може да се намери в глосара на MEASE.</w:t>
            </w:r>
          </w:p>
        </w:tc>
      </w:tr>
      <w:tr w:rsidR="008D6E9B" w:rsidRPr="0070774F">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495CFE">
            <w:pPr>
              <w:keepNext/>
              <w:spacing w:line="240" w:lineRule="auto"/>
              <w:ind w:left="476" w:hanging="462"/>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2.2 Контрол на експозицията за околната среда – отнася се само до защита на селскостопанската почва</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cantSplit/>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p>
          <w:p w:rsidR="008D6E9B" w:rsidRPr="00703017" w:rsidRDefault="008D6E9B" w:rsidP="009D4C75">
            <w:pPr>
              <w:spacing w:line="240" w:lineRule="auto"/>
              <w:jc w:val="both"/>
              <w:rPr>
                <w:rFonts w:ascii="Arial" w:hAnsi="Arial" w:cs="Arial"/>
                <w:sz w:val="16"/>
                <w:szCs w:val="16"/>
                <w:highlight w:val="yellow"/>
                <w:lang w:val="bg-BG" w:eastAsia="de-DE"/>
              </w:rPr>
            </w:pPr>
          </w:p>
          <w:p w:rsidR="008D6E9B" w:rsidRPr="00703017" w:rsidRDefault="001D5CEE" w:rsidP="00F86E80">
            <w:pPr>
              <w:spacing w:line="240" w:lineRule="auto"/>
              <w:ind w:left="2832"/>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476625" cy="2705100"/>
                  <wp:effectExtent l="0" t="0" r="9525"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625" cy="2705100"/>
                          </a:xfrm>
                          <a:prstGeom prst="rect">
                            <a:avLst/>
                          </a:prstGeom>
                          <a:noFill/>
                          <a:ln>
                            <a:noFill/>
                          </a:ln>
                        </pic:spPr>
                      </pic:pic>
                    </a:graphicData>
                  </a:graphic>
                </wp:inline>
              </w:drawing>
            </w:r>
          </w:p>
          <w:p w:rsidR="008D6E9B" w:rsidRPr="00703017" w:rsidRDefault="008D6E9B" w:rsidP="009D4C75">
            <w:pPr>
              <w:spacing w:line="240" w:lineRule="auto"/>
              <w:ind w:left="2880"/>
              <w:jc w:val="both"/>
              <w:rPr>
                <w:rFonts w:ascii="Arial" w:hAnsi="Arial" w:cs="Arial"/>
                <w:sz w:val="16"/>
                <w:szCs w:val="16"/>
                <w:highlight w:val="yellow"/>
                <w:lang w:val="bg-BG" w:eastAsia="de-DE"/>
              </w:rPr>
            </w:pPr>
            <w:r w:rsidRPr="00703017">
              <w:rPr>
                <w:rFonts w:ascii="Arial" w:hAnsi="Arial" w:cs="Arial"/>
                <w:sz w:val="16"/>
                <w:szCs w:val="16"/>
                <w:lang w:val="bg-BG"/>
              </w:rPr>
              <w:t>(Фигурата е взета от: Laudet, A. et al., 1999)</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3017">
        <w:trPr>
          <w:trHeight w:val="301"/>
          <w:jc w:val="center"/>
        </w:trPr>
        <w:tc>
          <w:tcPr>
            <w:tcW w:w="0" w:type="auto"/>
            <w:tcBorders>
              <w:top w:val="nil"/>
              <w:left w:val="single" w:sz="8" w:space="0" w:color="auto"/>
              <w:right w:val="single" w:sz="4" w:space="0" w:color="auto"/>
            </w:tcBorders>
            <w:vAlign w:val="center"/>
          </w:tcPr>
          <w:p w:rsidR="008D6E9B" w:rsidRPr="0070774F" w:rsidRDefault="008D6E9B" w:rsidP="00B71C2F">
            <w:pPr>
              <w:keepNext/>
              <w:spacing w:line="240" w:lineRule="auto"/>
              <w:rPr>
                <w:rFonts w:ascii="Arial" w:hAnsi="Arial" w:cs="Arial"/>
                <w:sz w:val="16"/>
                <w:szCs w:val="16"/>
                <w:lang w:val="bg-BG" w:eastAsia="de-DE"/>
              </w:rPr>
            </w:pPr>
            <w:r w:rsidRPr="0070774F">
              <w:rPr>
                <w:rFonts w:ascii="Arial" w:hAnsi="Arial" w:cs="Arial"/>
                <w:sz w:val="16"/>
                <w:szCs w:val="16"/>
                <w:lang w:val="bg-BG"/>
              </w:rPr>
              <w:t>CaO</w:t>
            </w:r>
          </w:p>
        </w:tc>
        <w:tc>
          <w:tcPr>
            <w:tcW w:w="0" w:type="auto"/>
            <w:gridSpan w:val="5"/>
            <w:tcBorders>
              <w:top w:val="nil"/>
              <w:left w:val="nil"/>
              <w:bottom w:val="single" w:sz="4" w:space="0" w:color="auto"/>
              <w:right w:val="single" w:sz="8" w:space="0" w:color="auto"/>
            </w:tcBorders>
            <w:vAlign w:val="center"/>
          </w:tcPr>
          <w:p w:rsidR="008D6E9B" w:rsidRPr="0070774F" w:rsidRDefault="008D6E9B" w:rsidP="00EB4B98">
            <w:pPr>
              <w:keepNext/>
              <w:spacing w:line="240" w:lineRule="auto"/>
              <w:jc w:val="center"/>
              <w:rPr>
                <w:rFonts w:ascii="Arial" w:hAnsi="Arial" w:cs="Arial"/>
                <w:sz w:val="16"/>
                <w:szCs w:val="16"/>
                <w:lang w:val="bg-BG" w:eastAsia="de-DE"/>
              </w:rPr>
            </w:pPr>
            <w:r w:rsidRPr="0070774F">
              <w:rPr>
                <w:rFonts w:ascii="Arial" w:hAnsi="Arial" w:cs="Arial"/>
                <w:sz w:val="16"/>
                <w:szCs w:val="16"/>
                <w:lang w:val="fr-BE"/>
              </w:rPr>
              <w:t>1 700</w:t>
            </w:r>
            <w:r w:rsidRPr="0070774F">
              <w:rPr>
                <w:rFonts w:ascii="Arial" w:hAnsi="Arial" w:cs="Arial"/>
                <w:sz w:val="16"/>
                <w:szCs w:val="16"/>
                <w:lang w:val="bg-BG"/>
              </w:rPr>
              <w:t xml:space="preserve"> kg/ha</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D6E9B" w:rsidRPr="0070774F">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D6E9B" w:rsidRPr="00703017" w:rsidRDefault="008D6E9B" w:rsidP="0087484B">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1 ден/година (едно прилагане за една година). Позволено е многократно прилагане през годината, при положение че общото годишно количество от </w:t>
            </w:r>
            <w:r w:rsidRPr="0070774F">
              <w:rPr>
                <w:rFonts w:ascii="Arial" w:hAnsi="Arial" w:cs="Arial"/>
                <w:sz w:val="16"/>
                <w:szCs w:val="16"/>
                <w:lang w:val="bg-BG"/>
              </w:rPr>
              <w:t>1 700 kg/ha не</w:t>
            </w:r>
            <w:r w:rsidRPr="00703017">
              <w:rPr>
                <w:rFonts w:ascii="Arial" w:hAnsi="Arial" w:cs="Arial"/>
                <w:sz w:val="16"/>
                <w:szCs w:val="16"/>
                <w:lang w:val="bg-BG"/>
              </w:rPr>
              <w:t xml:space="preserve"> се надхвърля (</w:t>
            </w:r>
            <w:r w:rsidRPr="0087484B">
              <w:rPr>
                <w:rFonts w:ascii="Arial" w:hAnsi="Arial" w:cs="Arial"/>
                <w:sz w:val="16"/>
                <w:szCs w:val="16"/>
                <w:highlight w:val="lightGray"/>
                <w:lang w:val="bg-BG"/>
              </w:rPr>
              <w:t>CaO</w:t>
            </w:r>
            <w:r w:rsidRPr="00703017">
              <w:rPr>
                <w:rFonts w:ascii="Arial" w:hAnsi="Arial" w:cs="Arial"/>
                <w:sz w:val="16"/>
                <w:szCs w:val="16"/>
                <w:highlight w:val="lightGray"/>
                <w:lang w:val="bg-BG"/>
              </w:rPr>
              <w:t>)</w:t>
            </w:r>
          </w:p>
        </w:tc>
      </w:tr>
      <w:tr w:rsidR="008D6E9B" w:rsidRPr="0070774F">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CCCCC"/>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Обем на повърхностните води: 300 L/m² </w:t>
            </w:r>
          </w:p>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Площ на повърхността: 1 ha</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3017">
        <w:trPr>
          <w:trHeight w:val="352"/>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Няма директни отделяния в прилежащите повърхностни води.</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намаляване или ограничаване на отделянията, емисиите във въздуха и почвата</w:t>
            </w:r>
          </w:p>
        </w:tc>
      </w:tr>
      <w:tr w:rsidR="008D6E9B" w:rsidRPr="00703017">
        <w:trPr>
          <w:trHeight w:val="362"/>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отделянето от обекта</w:t>
            </w:r>
          </w:p>
        </w:tc>
      </w:tr>
      <w:tr w:rsidR="008D6E9B" w:rsidRPr="00703017">
        <w:trPr>
          <w:trHeight w:val="52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В съответствие с изискванията на добрата селскостопанска практика, селскостопанската почва следва да се анализира, преди прилагането на вар и степента на прилагане трябва да се съобрази с резултатите от анализа.</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495CFE">
            <w:pPr>
              <w:keepNext/>
              <w:spacing w:line="240" w:lineRule="auto"/>
              <w:ind w:left="392" w:hanging="392"/>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2.2 Контрол на експозицията за околната среда – отнася се само до третиране на почвата в гражданското строителство</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cantSplit/>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highlight w:val="yellow"/>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r w:rsidRPr="00703017">
              <w:rPr>
                <w:rFonts w:ascii="Arial" w:hAnsi="Arial" w:cs="Arial"/>
                <w:sz w:val="16"/>
                <w:szCs w:val="16"/>
                <w:highlight w:val="yellow"/>
                <w:lang w:val="bg-BG"/>
              </w:rPr>
              <w:t xml:space="preserve"> </w:t>
            </w:r>
          </w:p>
          <w:p w:rsidR="008D6E9B" w:rsidRPr="00703017" w:rsidRDefault="001D5CEE" w:rsidP="00F86E80">
            <w:pPr>
              <w:spacing w:line="240" w:lineRule="auto"/>
              <w:ind w:left="2832"/>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476625" cy="2705100"/>
                  <wp:effectExtent l="0" t="0" r="9525"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625" cy="2705100"/>
                          </a:xfrm>
                          <a:prstGeom prst="rect">
                            <a:avLst/>
                          </a:prstGeom>
                          <a:noFill/>
                          <a:ln>
                            <a:noFill/>
                          </a:ln>
                        </pic:spPr>
                      </pic:pic>
                    </a:graphicData>
                  </a:graphic>
                </wp:inline>
              </w:drawing>
            </w:r>
          </w:p>
          <w:p w:rsidR="008D6E9B" w:rsidRPr="00703017" w:rsidRDefault="008D6E9B" w:rsidP="009D4C75">
            <w:pPr>
              <w:spacing w:line="240" w:lineRule="auto"/>
              <w:ind w:left="2880"/>
              <w:jc w:val="both"/>
              <w:rPr>
                <w:rFonts w:ascii="Arial" w:hAnsi="Arial" w:cs="Arial"/>
                <w:sz w:val="16"/>
                <w:szCs w:val="16"/>
                <w:lang w:val="bg-BG" w:eastAsia="de-DE"/>
              </w:rPr>
            </w:pPr>
            <w:r w:rsidRPr="00703017">
              <w:rPr>
                <w:rFonts w:ascii="Arial" w:hAnsi="Arial" w:cs="Arial"/>
                <w:sz w:val="16"/>
                <w:szCs w:val="16"/>
                <w:lang w:val="bg-BG"/>
              </w:rPr>
              <w:t>(Фигурата е взета от: Laudet, A. et al., 1999)</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3017">
        <w:trPr>
          <w:trHeight w:val="301"/>
          <w:jc w:val="center"/>
        </w:trPr>
        <w:tc>
          <w:tcPr>
            <w:tcW w:w="0" w:type="auto"/>
            <w:tcBorders>
              <w:top w:val="nil"/>
              <w:left w:val="single" w:sz="8" w:space="0" w:color="auto"/>
              <w:right w:val="single" w:sz="4" w:space="0" w:color="auto"/>
            </w:tcBorders>
            <w:vAlign w:val="center"/>
          </w:tcPr>
          <w:p w:rsidR="008D6E9B" w:rsidRPr="0070774F" w:rsidRDefault="008D6E9B" w:rsidP="00B71C2F">
            <w:pPr>
              <w:keepNext/>
              <w:spacing w:line="240" w:lineRule="auto"/>
              <w:rPr>
                <w:rFonts w:ascii="Arial" w:hAnsi="Arial" w:cs="Arial"/>
                <w:sz w:val="16"/>
                <w:szCs w:val="16"/>
                <w:lang w:val="bg-BG" w:eastAsia="de-DE"/>
              </w:rPr>
            </w:pPr>
            <w:r w:rsidRPr="0070774F">
              <w:rPr>
                <w:rFonts w:ascii="Arial" w:hAnsi="Arial" w:cs="Arial"/>
                <w:sz w:val="16"/>
                <w:szCs w:val="16"/>
                <w:lang w:val="bg-BG"/>
              </w:rPr>
              <w:t>CaO</w:t>
            </w:r>
          </w:p>
        </w:tc>
        <w:tc>
          <w:tcPr>
            <w:tcW w:w="0" w:type="auto"/>
            <w:gridSpan w:val="5"/>
            <w:tcBorders>
              <w:top w:val="nil"/>
              <w:left w:val="nil"/>
              <w:bottom w:val="single" w:sz="4" w:space="0" w:color="auto"/>
              <w:right w:val="single" w:sz="8" w:space="0" w:color="auto"/>
            </w:tcBorders>
            <w:vAlign w:val="center"/>
          </w:tcPr>
          <w:p w:rsidR="008D6E9B" w:rsidRPr="0070774F" w:rsidRDefault="008D6E9B" w:rsidP="00EB4B98">
            <w:pPr>
              <w:keepNext/>
              <w:spacing w:line="240" w:lineRule="auto"/>
              <w:jc w:val="center"/>
              <w:rPr>
                <w:rFonts w:ascii="Arial" w:hAnsi="Arial" w:cs="Arial"/>
                <w:sz w:val="16"/>
                <w:szCs w:val="16"/>
                <w:lang w:val="bg-BG" w:eastAsia="de-DE"/>
              </w:rPr>
            </w:pPr>
            <w:r w:rsidRPr="0070774F">
              <w:rPr>
                <w:rFonts w:ascii="Arial" w:hAnsi="Arial" w:cs="Arial"/>
                <w:sz w:val="16"/>
                <w:szCs w:val="16"/>
                <w:lang w:val="fr-BE"/>
              </w:rPr>
              <w:t>180 000</w:t>
            </w:r>
            <w:r w:rsidRPr="0070774F">
              <w:rPr>
                <w:rFonts w:ascii="Arial" w:hAnsi="Arial" w:cs="Arial"/>
                <w:sz w:val="16"/>
                <w:szCs w:val="16"/>
                <w:lang w:val="bg-BG"/>
              </w:rPr>
              <w:t xml:space="preserve"> kg/ha</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D6E9B" w:rsidRPr="0070774F">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D6E9B" w:rsidRPr="00703017" w:rsidRDefault="008D6E9B" w:rsidP="0087484B">
            <w:pPr>
              <w:spacing w:line="240" w:lineRule="auto"/>
              <w:jc w:val="both"/>
              <w:rPr>
                <w:rFonts w:ascii="Arial" w:hAnsi="Arial" w:cs="Arial"/>
                <w:sz w:val="16"/>
                <w:szCs w:val="16"/>
                <w:lang w:val="bg-BG" w:eastAsia="de-DE"/>
              </w:rPr>
            </w:pPr>
            <w:r w:rsidRPr="00703017">
              <w:rPr>
                <w:rFonts w:ascii="Arial" w:hAnsi="Arial" w:cs="Arial"/>
                <w:sz w:val="16"/>
                <w:szCs w:val="16"/>
                <w:lang w:val="bg-BG"/>
              </w:rPr>
              <w:t>1 ден/година и само веднъж в живота</w:t>
            </w:r>
            <w:r w:rsidRPr="00A8763B">
              <w:rPr>
                <w:rFonts w:ascii="Arial" w:hAnsi="Arial" w:cs="Arial"/>
                <w:sz w:val="16"/>
                <w:szCs w:val="16"/>
                <w:lang w:val="bg-BG"/>
              </w:rPr>
              <w:t xml:space="preserve">. Позволено е многократно прилагане през годината, при положение че общото годишно количество </w:t>
            </w:r>
            <w:r w:rsidRPr="0070774F">
              <w:rPr>
                <w:rFonts w:ascii="Arial" w:hAnsi="Arial" w:cs="Arial"/>
                <w:sz w:val="16"/>
                <w:szCs w:val="16"/>
                <w:lang w:val="bg-BG"/>
              </w:rPr>
              <w:t>от 180 000 kg/ha не</w:t>
            </w:r>
            <w:r w:rsidRPr="00A8763B">
              <w:rPr>
                <w:rFonts w:ascii="Arial" w:hAnsi="Arial" w:cs="Arial"/>
                <w:sz w:val="16"/>
                <w:szCs w:val="16"/>
                <w:lang w:val="bg-BG"/>
              </w:rPr>
              <w:t xml:space="preserve"> се надхвърля</w:t>
            </w:r>
            <w:r w:rsidRPr="00E870A8">
              <w:rPr>
                <w:rFonts w:ascii="Arial" w:hAnsi="Arial" w:cs="Arial"/>
                <w:sz w:val="16"/>
                <w:szCs w:val="16"/>
                <w:lang w:val="bg-BG"/>
              </w:rPr>
              <w:t xml:space="preserve"> </w:t>
            </w:r>
            <w:r w:rsidRPr="0087484B">
              <w:rPr>
                <w:rFonts w:ascii="Arial" w:hAnsi="Arial" w:cs="Arial"/>
                <w:sz w:val="16"/>
                <w:szCs w:val="16"/>
                <w:highlight w:val="lightGray"/>
                <w:lang w:val="bg-BG"/>
              </w:rPr>
              <w:t>(CaO</w:t>
            </w:r>
            <w:r w:rsidRPr="00703017">
              <w:rPr>
                <w:rFonts w:ascii="Arial" w:hAnsi="Arial" w:cs="Arial"/>
                <w:sz w:val="16"/>
                <w:szCs w:val="16"/>
                <w:highlight w:val="lightGray"/>
                <w:lang w:val="bg-BG"/>
              </w:rPr>
              <w:t>)</w:t>
            </w:r>
          </w:p>
        </w:tc>
      </w:tr>
      <w:tr w:rsidR="008D6E9B" w:rsidRPr="0070774F">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CCCCC"/>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Площ на повърхността: 1 ha</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3017">
        <w:trPr>
          <w:trHeight w:val="52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Варта се прилага само към почвата в техносферата, преди построяването на пътища. Няма директни отделяния в прилежащите повърхностни води.</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D6E9B" w:rsidRPr="00703017">
        <w:trPr>
          <w:trHeight w:val="401"/>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3. Оценка на експозицията и референция на източника</w:t>
            </w:r>
          </w:p>
        </w:tc>
      </w:tr>
      <w:tr w:rsidR="008D6E9B"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D6E9B" w:rsidRPr="0070774F">
        <w:trPr>
          <w:trHeight w:val="601"/>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D6E9B" w:rsidRPr="0070774F" w:rsidRDefault="008D6E9B" w:rsidP="009D4C75">
            <w:pPr>
              <w:keepNext/>
              <w:spacing w:line="240" w:lineRule="auto"/>
              <w:rPr>
                <w:rFonts w:ascii="Arial" w:hAnsi="Arial" w:cs="Arial"/>
                <w:sz w:val="16"/>
                <w:szCs w:val="16"/>
                <w:lang w:val="bg-BG" w:eastAsia="de-DE"/>
              </w:rPr>
            </w:pPr>
            <w:r w:rsidRPr="0070774F">
              <w:rPr>
                <w:rFonts w:ascii="Arial" w:hAnsi="Arial" w:cs="Arial"/>
                <w:sz w:val="16"/>
                <w:szCs w:val="16"/>
                <w:lang w:val="bg-BG"/>
              </w:rPr>
              <w:t>Инструментът за оценка на експозицията MEASE се използва за оценка на експозицията при вдишване. Съотношението на характеризиране на риска (RCR) еотношение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за CaO от 1 mg/m³ (като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тъй като вдишаната фракция е подфракция на вдишваната фракция, съгласно EN 481.</w:t>
            </w:r>
          </w:p>
        </w:tc>
      </w:tr>
      <w:tr w:rsidR="008D6E9B" w:rsidRPr="0070774F">
        <w:trPr>
          <w:trHeight w:val="679"/>
          <w:jc w:val="center"/>
        </w:trPr>
        <w:tc>
          <w:tcPr>
            <w:tcW w:w="0" w:type="auto"/>
            <w:tcBorders>
              <w:top w:val="nil"/>
              <w:left w:val="single" w:sz="8" w:space="0" w:color="auto"/>
              <w:bottom w:val="single" w:sz="4" w:space="0" w:color="000000"/>
              <w:right w:val="single" w:sz="4" w:space="0" w:color="auto"/>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Методология, използвана за оценка на експозицията при вдишване</w:t>
            </w:r>
          </w:p>
        </w:tc>
        <w:tc>
          <w:tcPr>
            <w:tcW w:w="0" w:type="auto"/>
            <w:tcBorders>
              <w:top w:val="nil"/>
              <w:left w:val="nil"/>
              <w:bottom w:val="single" w:sz="4" w:space="0" w:color="auto"/>
              <w:right w:val="single" w:sz="4" w:space="0" w:color="auto"/>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на експозиция при вдишване (RCR)</w:t>
            </w:r>
          </w:p>
        </w:tc>
        <w:tc>
          <w:tcPr>
            <w:tcW w:w="0" w:type="auto"/>
            <w:gridSpan w:val="2"/>
            <w:tcBorders>
              <w:top w:val="nil"/>
              <w:left w:val="nil"/>
              <w:bottom w:val="single" w:sz="4" w:space="0" w:color="auto"/>
              <w:right w:val="single" w:sz="4" w:space="0" w:color="auto"/>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Методология, използвана за оценка на дермалната експозиция</w:t>
            </w:r>
          </w:p>
        </w:tc>
        <w:tc>
          <w:tcPr>
            <w:tcW w:w="0" w:type="auto"/>
            <w:tcBorders>
              <w:top w:val="nil"/>
              <w:left w:val="nil"/>
              <w:bottom w:val="single" w:sz="4" w:space="0" w:color="000000"/>
              <w:right w:val="single" w:sz="8" w:space="0" w:color="auto"/>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при дермална експозиция (RCR)</w:t>
            </w:r>
          </w:p>
        </w:tc>
      </w:tr>
      <w:tr w:rsidR="008D6E9B" w:rsidRPr="0070774F">
        <w:trPr>
          <w:trHeight w:val="1038"/>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 3, 4, 5, 8a, 8b, 9, 10, 11, 13, 15, 16, 17, 18, 19, 21, 25, 26</w:t>
            </w:r>
          </w:p>
        </w:tc>
        <w:tc>
          <w:tcPr>
            <w:tcW w:w="0" w:type="auto"/>
            <w:tcBorders>
              <w:top w:val="single" w:sz="4" w:space="0" w:color="000000"/>
              <w:left w:val="nil"/>
              <w:bottom w:val="single" w:sz="4" w:space="0" w:color="000000"/>
              <w:right w:val="single" w:sz="4" w:space="0" w:color="auto"/>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MEASE</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774F" w:rsidRDefault="008D6E9B" w:rsidP="00285F16">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 xml:space="preserve">&lt; 1 mg/m³ </w:t>
            </w:r>
            <w:r w:rsidRPr="0070774F">
              <w:rPr>
                <w:rFonts w:ascii="Arial" w:hAnsi="Arial" w:cs="Arial"/>
                <w:sz w:val="16"/>
                <w:szCs w:val="16"/>
                <w:lang w:val="bg-BG"/>
              </w:rPr>
              <w:br/>
              <w:t>(0</w:t>
            </w:r>
            <w:r w:rsidRPr="0070774F">
              <w:rPr>
                <w:rFonts w:ascii="Arial" w:hAnsi="Arial" w:cs="Arial"/>
                <w:sz w:val="16"/>
                <w:szCs w:val="16"/>
                <w:lang w:val="de-DE"/>
              </w:rPr>
              <w:t>,</w:t>
            </w:r>
            <w:r w:rsidRPr="0070774F">
              <w:rPr>
                <w:rFonts w:ascii="Arial" w:hAnsi="Arial" w:cs="Arial"/>
                <w:sz w:val="16"/>
                <w:szCs w:val="16"/>
                <w:lang w:val="bg-BG"/>
              </w:rPr>
              <w:t>01 – 0</w:t>
            </w:r>
            <w:r w:rsidRPr="0070774F">
              <w:rPr>
                <w:rFonts w:ascii="Arial" w:hAnsi="Arial" w:cs="Arial"/>
                <w:sz w:val="16"/>
                <w:szCs w:val="16"/>
                <w:lang w:val="de-DE"/>
              </w:rPr>
              <w:t>,</w:t>
            </w:r>
            <w:r w:rsidRPr="0070774F">
              <w:rPr>
                <w:rFonts w:ascii="Arial" w:hAnsi="Arial" w:cs="Arial"/>
                <w:sz w:val="16"/>
                <w:szCs w:val="16"/>
                <w:lang w:val="bg-BG"/>
              </w:rPr>
              <w:t>75)</w:t>
            </w:r>
          </w:p>
        </w:tc>
        <w:tc>
          <w:tcPr>
            <w:tcW w:w="0" w:type="auto"/>
            <w:gridSpan w:val="3"/>
            <w:tcBorders>
              <w:top w:val="single" w:sz="4" w:space="0" w:color="000000"/>
              <w:left w:val="nil"/>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Тъй като CaO се класифицира като дразнещо кожата, дермалната експозиция трябва да се минимализира до технически оправданото. Не е получен DNEL за дермалните ефекти. Така че дермалната експозиция не се оценява в този сценарий на експозиция.</w:t>
            </w:r>
          </w:p>
        </w:tc>
      </w:tr>
      <w:tr w:rsidR="008D6E9B" w:rsidRPr="0070774F">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774F" w:rsidRDefault="008D6E9B" w:rsidP="009D4C75">
            <w:pPr>
              <w:keepNext/>
              <w:spacing w:line="240" w:lineRule="auto"/>
              <w:jc w:val="both"/>
              <w:rPr>
                <w:rFonts w:ascii="Arial" w:hAnsi="Arial" w:cs="Arial"/>
                <w:b/>
                <w:bCs/>
                <w:color w:val="0000FF"/>
                <w:sz w:val="16"/>
                <w:szCs w:val="16"/>
                <w:lang w:val="bg-BG" w:eastAsia="de-DE"/>
              </w:rPr>
            </w:pPr>
            <w:r w:rsidRPr="0070774F">
              <w:rPr>
                <w:rFonts w:ascii="Arial" w:hAnsi="Arial" w:cs="Arial"/>
                <w:b/>
                <w:bCs/>
                <w:color w:val="0000FF"/>
                <w:sz w:val="16"/>
                <w:szCs w:val="16"/>
                <w:lang w:val="bg-BG"/>
              </w:rPr>
              <w:t>Експозицията за околната среда за целите на защита на селскостопанската почва</w:t>
            </w:r>
          </w:p>
        </w:tc>
      </w:tr>
      <w:tr w:rsidR="008D6E9B" w:rsidRPr="0070774F">
        <w:trPr>
          <w:cantSplit/>
          <w:trHeight w:val="301"/>
          <w:jc w:val="center"/>
        </w:trPr>
        <w:tc>
          <w:tcPr>
            <w:tcW w:w="0" w:type="auto"/>
            <w:gridSpan w:val="6"/>
            <w:tcBorders>
              <w:top w:val="nil"/>
              <w:left w:val="single" w:sz="8" w:space="0" w:color="auto"/>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Изчислението PEC за подпочвените и повърхностните води се основава на групата почви FOCUS (FOCUS, 1996) и на проекто-ръководството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(Kloskowksi et al.,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биоцидни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 веднъж приложено към почвата, CaO може действително да мигрира към повърхностните води, чрез дрейфа.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5"/>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both"/>
              <w:rPr>
                <w:rFonts w:ascii="Arial" w:hAnsi="Arial" w:cs="Arial"/>
                <w:sz w:val="16"/>
                <w:szCs w:val="16"/>
                <w:lang w:val="bg-BG" w:eastAsia="de-DE"/>
              </w:rPr>
            </w:pPr>
            <w:r w:rsidRPr="0070774F">
              <w:rPr>
                <w:rFonts w:ascii="Arial" w:hAnsi="Arial" w:cs="Arial"/>
                <w:sz w:val="16"/>
                <w:szCs w:val="16"/>
                <w:lang w:val="bg-BG"/>
              </w:rPr>
              <w:t>Вижте използваните количества</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5"/>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both"/>
              <w:rPr>
                <w:rFonts w:ascii="Arial" w:hAnsi="Arial" w:cs="Arial"/>
                <w:sz w:val="16"/>
                <w:szCs w:val="16"/>
                <w:lang w:val="bg-BG" w:eastAsia="de-DE"/>
              </w:rPr>
            </w:pPr>
            <w:r w:rsidRPr="0070774F">
              <w:rPr>
                <w:rFonts w:ascii="Arial" w:hAnsi="Arial" w:cs="Arial"/>
                <w:sz w:val="16"/>
                <w:szCs w:val="16"/>
                <w:lang w:val="bg-BG"/>
              </w:rPr>
              <w:t>Ирелевантно за защита на селскостопанската почва</w:t>
            </w:r>
          </w:p>
        </w:tc>
      </w:tr>
      <w:tr w:rsidR="008D6E9B" w:rsidRPr="00703017">
        <w:trPr>
          <w:cantSplit/>
          <w:jc w:val="center"/>
        </w:trPr>
        <w:tc>
          <w:tcPr>
            <w:tcW w:w="0" w:type="auto"/>
            <w:vMerge w:val="restart"/>
            <w:tcBorders>
              <w:top w:val="single" w:sz="4" w:space="0" w:color="000000"/>
              <w:left w:val="single" w:sz="8" w:space="0" w:color="auto"/>
              <w:bottom w:val="single" w:sz="4" w:space="0" w:color="auto"/>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водно-пелагична камера</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4B205A">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4B205A">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PEC (ug/L)</w:t>
            </w:r>
          </w:p>
        </w:tc>
        <w:tc>
          <w:tcPr>
            <w:tcW w:w="0" w:type="auto"/>
            <w:gridSpan w:val="2"/>
            <w:tcBorders>
              <w:top w:val="single" w:sz="4" w:space="0" w:color="000000"/>
              <w:left w:val="nil"/>
              <w:bottom w:val="single" w:sz="4" w:space="0" w:color="000000"/>
              <w:right w:val="single" w:sz="8" w:space="0" w:color="000000"/>
            </w:tcBorders>
            <w:vAlign w:val="center"/>
          </w:tcPr>
          <w:p w:rsidR="008D6E9B" w:rsidRPr="0070774F" w:rsidRDefault="008D6E9B" w:rsidP="004B205A">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PNEC (ug/L)</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4B205A">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RCR</w:t>
            </w:r>
          </w:p>
        </w:tc>
      </w:tr>
      <w:tr w:rsidR="008D6E9B" w:rsidRPr="00703017">
        <w:trPr>
          <w:trHeight w:val="252"/>
          <w:jc w:val="center"/>
        </w:trPr>
        <w:tc>
          <w:tcPr>
            <w:tcW w:w="0" w:type="auto"/>
            <w:vMerge/>
            <w:tcBorders>
              <w:top w:val="single" w:sz="4" w:space="0" w:color="auto"/>
              <w:left w:val="single" w:sz="8" w:space="0" w:color="auto"/>
              <w:bottom w:val="single" w:sz="4" w:space="0" w:color="auto"/>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CaO</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fr-BE" w:eastAsia="de-DE"/>
              </w:rPr>
            </w:pPr>
            <w:r w:rsidRPr="0070774F">
              <w:rPr>
                <w:rFonts w:ascii="Arial" w:hAnsi="Arial" w:cs="Arial"/>
                <w:sz w:val="16"/>
                <w:szCs w:val="16"/>
                <w:lang w:val="fr-BE"/>
              </w:rPr>
              <w:t>5,66</w:t>
            </w:r>
          </w:p>
        </w:tc>
        <w:tc>
          <w:tcPr>
            <w:tcW w:w="0" w:type="auto"/>
            <w:gridSpan w:val="2"/>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fr-BE" w:eastAsia="de-DE"/>
              </w:rPr>
            </w:pPr>
            <w:r w:rsidRPr="0070774F">
              <w:rPr>
                <w:rFonts w:ascii="Arial" w:hAnsi="Arial" w:cs="Arial"/>
                <w:sz w:val="16"/>
                <w:szCs w:val="16"/>
                <w:lang w:val="fr-BE"/>
              </w:rPr>
              <w:t>370</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0</w:t>
            </w:r>
            <w:r w:rsidRPr="0070774F">
              <w:rPr>
                <w:rFonts w:ascii="Arial" w:hAnsi="Arial" w:cs="Arial"/>
                <w:sz w:val="16"/>
                <w:szCs w:val="16"/>
                <w:lang w:val="de-DE"/>
              </w:rPr>
              <w:t>,</w:t>
            </w:r>
            <w:r w:rsidRPr="0070774F">
              <w:rPr>
                <w:rFonts w:ascii="Arial" w:hAnsi="Arial" w:cs="Arial"/>
                <w:sz w:val="16"/>
                <w:szCs w:val="16"/>
                <w:lang w:val="bg-BG"/>
              </w:rPr>
              <w:t>015</w:t>
            </w:r>
          </w:p>
        </w:tc>
      </w:tr>
      <w:tr w:rsidR="008D6E9B" w:rsidRPr="0070774F">
        <w:trPr>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5"/>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Както беше описано по-горе, не се очаква експозиция на повърхностните води, нито на седиментите. Нещо повече, в естествените води хидроксидните йони влизат в реакция с HCO3–, в резултат на която се получава вода и CO32-. CO32- поражда CaCO3 чрез реакция с Ca2+. Калциевият карбонат се утаява и се отлага като седимент. Калциевият карбонат е слабо разтворим и е съставна част на естествената почва.</w:t>
            </w:r>
          </w:p>
        </w:tc>
      </w:tr>
      <w:tr w:rsidR="008D6E9B" w:rsidRPr="00703017">
        <w:trPr>
          <w:cantSplit/>
          <w:trHeight w:val="66"/>
          <w:jc w:val="center"/>
        </w:trPr>
        <w:tc>
          <w:tcPr>
            <w:tcW w:w="0" w:type="auto"/>
            <w:vMerge w:val="restart"/>
            <w:tcBorders>
              <w:top w:val="single" w:sz="4" w:space="0" w:color="000000"/>
              <w:left w:val="single" w:sz="8" w:space="0" w:color="auto"/>
              <w:right w:val="single" w:sz="4" w:space="0" w:color="000000"/>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PEC (mg/L)</w:t>
            </w:r>
          </w:p>
        </w:tc>
        <w:tc>
          <w:tcPr>
            <w:tcW w:w="0" w:type="auto"/>
            <w:gridSpan w:val="2"/>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PNEC (mg/L)</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RCR</w:t>
            </w:r>
          </w:p>
        </w:tc>
      </w:tr>
      <w:tr w:rsidR="008D6E9B" w:rsidRPr="00703017">
        <w:trPr>
          <w:cantSplit/>
          <w:trHeight w:val="266"/>
          <w:jc w:val="center"/>
        </w:trPr>
        <w:tc>
          <w:tcPr>
            <w:tcW w:w="0" w:type="auto"/>
            <w:vMerge/>
            <w:tcBorders>
              <w:top w:val="single" w:sz="4" w:space="0" w:color="auto"/>
              <w:left w:val="single" w:sz="8" w:space="0" w:color="auto"/>
              <w:right w:val="single" w:sz="4" w:space="0" w:color="000000"/>
            </w:tcBorders>
            <w:vAlign w:val="center"/>
          </w:tcPr>
          <w:p w:rsidR="008D6E9B" w:rsidRPr="00703017" w:rsidRDefault="008D6E9B" w:rsidP="009D4C75">
            <w:pPr>
              <w:keepNext/>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CaO</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fr-BE" w:eastAsia="de-DE"/>
              </w:rPr>
            </w:pPr>
            <w:r w:rsidRPr="0070774F">
              <w:rPr>
                <w:rFonts w:ascii="Arial" w:hAnsi="Arial" w:cs="Arial"/>
                <w:sz w:val="16"/>
                <w:szCs w:val="16"/>
                <w:lang w:val="fr-BE"/>
              </w:rPr>
              <w:t>500</w:t>
            </w:r>
          </w:p>
        </w:tc>
        <w:tc>
          <w:tcPr>
            <w:tcW w:w="0" w:type="auto"/>
            <w:gridSpan w:val="2"/>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fr-BE" w:eastAsia="de-DE"/>
              </w:rPr>
            </w:pPr>
            <w:r w:rsidRPr="0070774F">
              <w:rPr>
                <w:rFonts w:ascii="Arial" w:hAnsi="Arial" w:cs="Arial"/>
                <w:sz w:val="16"/>
                <w:szCs w:val="16"/>
                <w:lang w:val="fr-BE"/>
              </w:rPr>
              <w:t>816</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0</w:t>
            </w:r>
            <w:r w:rsidRPr="0070774F">
              <w:rPr>
                <w:rFonts w:ascii="Arial" w:hAnsi="Arial" w:cs="Arial"/>
                <w:sz w:val="16"/>
                <w:szCs w:val="16"/>
                <w:lang w:val="de-DE"/>
              </w:rPr>
              <w:t>,</w:t>
            </w:r>
            <w:r w:rsidRPr="0070774F">
              <w:rPr>
                <w:rFonts w:ascii="Arial" w:hAnsi="Arial" w:cs="Arial"/>
                <w:sz w:val="16"/>
                <w:szCs w:val="16"/>
                <w:lang w:val="bg-BG"/>
              </w:rPr>
              <w:t>61</w:t>
            </w:r>
          </w:p>
        </w:tc>
      </w:tr>
      <w:tr w:rsidR="008D6E9B" w:rsidRPr="0070774F">
        <w:trPr>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5"/>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Тази точка е ирелевантна. CaO не е летливо. Парното налягане е под 10</w:t>
            </w:r>
            <w:r w:rsidRPr="0070774F">
              <w:rPr>
                <w:rFonts w:ascii="Arial" w:hAnsi="Arial" w:cs="Arial"/>
                <w:sz w:val="16"/>
                <w:szCs w:val="16"/>
                <w:vertAlign w:val="superscript"/>
                <w:lang w:val="bg-BG"/>
              </w:rPr>
              <w:t>–5</w:t>
            </w:r>
            <w:r w:rsidRPr="0070774F">
              <w:rPr>
                <w:rFonts w:ascii="Arial" w:hAnsi="Arial" w:cs="Arial"/>
                <w:sz w:val="16"/>
                <w:szCs w:val="16"/>
                <w:lang w:val="bg-BG"/>
              </w:rPr>
              <w:t xml:space="preserve"> Pa.</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5"/>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 понеже калцият може да се приеме за присъстващ навсякъде и основен елемент на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D6E9B" w:rsidRPr="0070774F">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Експозицията за околната среда – третиране на почвата в гражданското строителство</w:t>
            </w:r>
          </w:p>
        </w:tc>
      </w:tr>
      <w:tr w:rsidR="008D6E9B" w:rsidRPr="0070774F">
        <w:trPr>
          <w:cantSplit/>
          <w:trHeight w:val="301"/>
          <w:jc w:val="center"/>
        </w:trPr>
        <w:tc>
          <w:tcPr>
            <w:tcW w:w="0" w:type="auto"/>
            <w:gridSpan w:val="6"/>
            <w:tcBorders>
              <w:top w:val="nil"/>
              <w:left w:val="single" w:sz="8" w:space="0" w:color="auto"/>
              <w:bottom w:val="single" w:sz="4"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Сценарият за третиране на почвата в гражданското строителство се основава на сценария за границата на пътя. На специална техническа среща за границата на пътя (Испра, 5 септември 2003 г.), Страните-членки на ЕС и представителите на бранша приеха дефиниция за </w:t>
            </w:r>
            <w:r>
              <w:rPr>
                <w:rFonts w:ascii="Arial" w:hAnsi="Arial" w:cs="Arial"/>
                <w:sz w:val="16"/>
                <w:szCs w:val="16"/>
                <w:lang w:val="bg-BG"/>
              </w:rPr>
              <w:t>„</w:t>
            </w:r>
            <w:r w:rsidRPr="00703017">
              <w:rPr>
                <w:rFonts w:ascii="Arial" w:hAnsi="Arial" w:cs="Arial"/>
                <w:sz w:val="16"/>
                <w:szCs w:val="16"/>
                <w:lang w:val="bg-BG"/>
              </w:rPr>
              <w:t>техносферата на пътя</w:t>
            </w:r>
            <w:r w:rsidRPr="00B94FEE">
              <w:rPr>
                <w:rFonts w:ascii="Arial" w:hAnsi="Arial" w:cs="Arial"/>
                <w:sz w:val="16"/>
                <w:szCs w:val="16"/>
                <w:lang w:val="bg-BG"/>
              </w:rPr>
              <w:t>“</w:t>
            </w:r>
            <w:r w:rsidRPr="00703017">
              <w:rPr>
                <w:rFonts w:ascii="Arial" w:hAnsi="Arial" w:cs="Arial"/>
                <w:sz w:val="16"/>
                <w:szCs w:val="16"/>
                <w:lang w:val="bg-BG"/>
              </w:rPr>
              <w:t xml:space="preserve">. Техносферата на пътя може да се определи като </w:t>
            </w:r>
            <w:r>
              <w:rPr>
                <w:rFonts w:ascii="Arial" w:hAnsi="Arial" w:cs="Arial"/>
                <w:sz w:val="16"/>
                <w:szCs w:val="16"/>
                <w:lang w:val="bg-BG"/>
              </w:rPr>
              <w:t>„</w:t>
            </w:r>
            <w:r w:rsidRPr="00703017">
              <w:rPr>
                <w:rFonts w:ascii="Arial" w:hAnsi="Arial" w:cs="Arial"/>
                <w:sz w:val="16"/>
                <w:szCs w:val="16"/>
                <w:lang w:val="bg-BG"/>
              </w:rPr>
              <w:t>инженерната среда, която изпълнява геотехническите функции на пътя във връзка с неговата конструкция, експлоатация и поддръжка, вкл. инсталациите за осигуряване на неговата безопасност и управление на оттичащите се води. Тази техно сфера, която включва твърдия и мекия банкет на пътя, вертикално се определя от водоносния хоризонт. Пътните власти носят отговорността за тази пътна техносфера, в т.ч. и за пътната безопасност, укрепването на пътя, предотвратяване на замърсяването и управление на водите</w:t>
            </w:r>
            <w:r>
              <w:rPr>
                <w:rFonts w:ascii="Arial" w:hAnsi="Arial" w:cs="Arial"/>
                <w:sz w:val="16"/>
                <w:szCs w:val="16"/>
                <w:lang w:val="bg-BG"/>
              </w:rPr>
              <w:t>“</w:t>
            </w:r>
            <w:r w:rsidRPr="00703017">
              <w:rPr>
                <w:rFonts w:ascii="Arial" w:hAnsi="Arial" w:cs="Arial"/>
                <w:sz w:val="16"/>
                <w:szCs w:val="16"/>
                <w:lang w:val="bg-BG"/>
              </w:rPr>
              <w:t>. Следователно пътната техносфера е изключена от крайната оценка на риска за целите на съществуващите/новите разпоредби за веществата. Таргет зоната е зоната извън техносферата, за която се отнася оценката на риска за околната среда.</w:t>
            </w:r>
          </w:p>
          <w:p w:rsidR="008D6E9B" w:rsidRPr="00703017" w:rsidRDefault="008D6E9B" w:rsidP="009D4C75">
            <w:pPr>
              <w:spacing w:line="240" w:lineRule="auto"/>
              <w:rPr>
                <w:rFonts w:ascii="Arial" w:hAnsi="Arial" w:cs="Arial"/>
                <w:sz w:val="16"/>
                <w:szCs w:val="16"/>
                <w:lang w:val="bg-BG" w:eastAsia="de-DE"/>
              </w:rPr>
            </w:pPr>
          </w:p>
          <w:p w:rsidR="008D6E9B" w:rsidRPr="00703017" w:rsidRDefault="008D6E9B" w:rsidP="00BC5EEB">
            <w:pPr>
              <w:spacing w:line="240" w:lineRule="auto"/>
              <w:rPr>
                <w:rFonts w:ascii="Arial" w:hAnsi="Arial" w:cs="Arial"/>
                <w:sz w:val="16"/>
                <w:szCs w:val="16"/>
                <w:lang w:val="bg-BG" w:eastAsia="de-DE"/>
              </w:rPr>
            </w:pPr>
            <w:r w:rsidRPr="00703017">
              <w:rPr>
                <w:rFonts w:ascii="Arial" w:hAnsi="Arial" w:cs="Arial"/>
                <w:sz w:val="16"/>
                <w:szCs w:val="16"/>
                <w:lang w:val="bg-BG"/>
              </w:rPr>
              <w:t>Изчислението PEC за почвите се основава на групата почви FOCUS (FOCUS, 1996) и на проекто-ръководството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(Kloskowksi et al.,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биоцидни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5"/>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Вижте използваните количества</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5"/>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D6E9B" w:rsidRPr="0070774F">
        <w:trPr>
          <w:trHeight w:val="681"/>
          <w:jc w:val="center"/>
        </w:trPr>
        <w:tc>
          <w:tcPr>
            <w:tcW w:w="0" w:type="auto"/>
            <w:tcBorders>
              <w:top w:val="single" w:sz="4" w:space="0" w:color="000000"/>
              <w:left w:val="single" w:sz="8" w:space="0" w:color="auto"/>
              <w:bottom w:val="single" w:sz="4" w:space="0" w:color="auto"/>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водно-пелагична камера</w:t>
            </w:r>
          </w:p>
        </w:tc>
        <w:tc>
          <w:tcPr>
            <w:tcW w:w="0" w:type="auto"/>
            <w:gridSpan w:val="5"/>
            <w:tcBorders>
              <w:top w:val="single" w:sz="4" w:space="0" w:color="000000"/>
              <w:left w:val="nil"/>
              <w:right w:val="single" w:sz="8" w:space="0" w:color="000000"/>
            </w:tcBorders>
            <w:vAlign w:val="center"/>
          </w:tcPr>
          <w:p w:rsidR="008D6E9B" w:rsidRPr="00703017" w:rsidRDefault="008D6E9B" w:rsidP="009D4C75">
            <w:pPr>
              <w:spacing w:line="240" w:lineRule="auto"/>
              <w:jc w:val="both"/>
              <w:rPr>
                <w:rFonts w:ascii="Arial" w:hAnsi="Arial" w:cs="Arial"/>
                <w:b/>
                <w:bCs/>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D6E9B" w:rsidRPr="0070774F">
        <w:trPr>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5"/>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D6E9B" w:rsidRPr="00703017">
        <w:trPr>
          <w:cantSplit/>
          <w:jc w:val="center"/>
        </w:trPr>
        <w:tc>
          <w:tcPr>
            <w:tcW w:w="0" w:type="auto"/>
            <w:vMerge w:val="restart"/>
            <w:tcBorders>
              <w:top w:val="single" w:sz="4" w:space="0" w:color="000000"/>
              <w:left w:val="single" w:sz="8" w:space="0" w:color="auto"/>
              <w:bottom w:val="single" w:sz="4" w:space="0" w:color="auto"/>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4B205A">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4B205A">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(mg/L)</w:t>
            </w:r>
          </w:p>
        </w:tc>
        <w:tc>
          <w:tcPr>
            <w:tcW w:w="0" w:type="auto"/>
            <w:gridSpan w:val="2"/>
            <w:tcBorders>
              <w:top w:val="single" w:sz="4" w:space="0" w:color="000000"/>
              <w:left w:val="nil"/>
              <w:bottom w:val="single" w:sz="4" w:space="0" w:color="000000"/>
              <w:right w:val="single" w:sz="8" w:space="0" w:color="000000"/>
            </w:tcBorders>
            <w:vAlign w:val="center"/>
          </w:tcPr>
          <w:p w:rsidR="008D6E9B" w:rsidRPr="00703017" w:rsidRDefault="008D6E9B" w:rsidP="004B205A">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(mg/L)</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4B205A">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D6E9B" w:rsidRPr="00703017">
        <w:trPr>
          <w:trHeight w:val="266"/>
          <w:jc w:val="center"/>
        </w:trPr>
        <w:tc>
          <w:tcPr>
            <w:tcW w:w="0" w:type="auto"/>
            <w:vMerge/>
            <w:tcBorders>
              <w:top w:val="single" w:sz="4" w:space="0" w:color="auto"/>
              <w:left w:val="single" w:sz="8" w:space="0" w:color="auto"/>
              <w:bottom w:val="single" w:sz="4" w:space="0" w:color="auto"/>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CaO</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fr-BE" w:eastAsia="de-DE"/>
              </w:rPr>
            </w:pPr>
            <w:r w:rsidRPr="0070774F">
              <w:rPr>
                <w:rFonts w:ascii="Arial" w:hAnsi="Arial" w:cs="Arial"/>
                <w:sz w:val="16"/>
                <w:szCs w:val="16"/>
                <w:lang w:val="fr-BE"/>
              </w:rPr>
              <w:t>529</w:t>
            </w:r>
          </w:p>
        </w:tc>
        <w:tc>
          <w:tcPr>
            <w:tcW w:w="0" w:type="auto"/>
            <w:gridSpan w:val="2"/>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fr-BE" w:eastAsia="de-DE"/>
              </w:rPr>
            </w:pPr>
            <w:r w:rsidRPr="0070774F">
              <w:rPr>
                <w:rFonts w:ascii="Arial" w:hAnsi="Arial" w:cs="Arial"/>
                <w:sz w:val="16"/>
                <w:szCs w:val="16"/>
                <w:lang w:val="fr-BE"/>
              </w:rPr>
              <w:t>816</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0</w:t>
            </w:r>
            <w:r w:rsidRPr="0070774F">
              <w:rPr>
                <w:rFonts w:ascii="Arial" w:hAnsi="Arial" w:cs="Arial"/>
                <w:sz w:val="16"/>
                <w:szCs w:val="16"/>
                <w:lang w:val="de-DE"/>
              </w:rPr>
              <w:t>,</w:t>
            </w:r>
            <w:r w:rsidRPr="0070774F">
              <w:rPr>
                <w:rFonts w:ascii="Arial" w:hAnsi="Arial" w:cs="Arial"/>
                <w:sz w:val="16"/>
                <w:szCs w:val="16"/>
                <w:lang w:val="bg-BG"/>
              </w:rPr>
              <w:t>65</w:t>
            </w:r>
          </w:p>
        </w:tc>
      </w:tr>
      <w:tr w:rsidR="008D6E9B" w:rsidRPr="0070774F">
        <w:trPr>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5"/>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Тази точка е ирелевантна. CaO не е летливо. Парното налягане е под 10</w:t>
            </w:r>
            <w:r w:rsidRPr="0070774F">
              <w:rPr>
                <w:rFonts w:ascii="Arial" w:hAnsi="Arial" w:cs="Arial"/>
                <w:sz w:val="16"/>
                <w:szCs w:val="16"/>
                <w:vertAlign w:val="superscript"/>
                <w:lang w:val="bg-BG"/>
              </w:rPr>
              <w:t>–5</w:t>
            </w:r>
            <w:r w:rsidRPr="0070774F">
              <w:rPr>
                <w:rFonts w:ascii="Arial" w:hAnsi="Arial" w:cs="Arial"/>
                <w:sz w:val="16"/>
                <w:szCs w:val="16"/>
                <w:lang w:val="bg-BG"/>
              </w:rPr>
              <w:t xml:space="preserve"> Pa.</w:t>
            </w:r>
          </w:p>
        </w:tc>
      </w:tr>
      <w:tr w:rsidR="008D6E9B" w:rsidRPr="0070774F">
        <w:trPr>
          <w:trHeight w:val="301"/>
          <w:jc w:val="center"/>
        </w:trPr>
        <w:tc>
          <w:tcPr>
            <w:tcW w:w="0" w:type="auto"/>
            <w:tcBorders>
              <w:top w:val="nil"/>
              <w:left w:val="single" w:sz="8" w:space="0" w:color="auto"/>
              <w:bottom w:val="single" w:sz="8"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5"/>
            <w:tcBorders>
              <w:top w:val="single" w:sz="4" w:space="0" w:color="000000"/>
              <w:left w:val="nil"/>
              <w:bottom w:val="single" w:sz="8"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 понеже калцият може да се приеме за присъстващ навсякъде и основен елемент на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D6E9B" w:rsidRPr="0070774F">
        <w:trPr>
          <w:trHeight w:val="315"/>
          <w:jc w:val="center"/>
        </w:trPr>
        <w:tc>
          <w:tcPr>
            <w:tcW w:w="0" w:type="auto"/>
            <w:gridSpan w:val="6"/>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 при други начини на употреба</w:t>
            </w:r>
          </w:p>
        </w:tc>
      </w:tr>
      <w:tr w:rsidR="008D6E9B" w:rsidRPr="0070774F">
        <w:trPr>
          <w:cantSplit/>
          <w:trHeight w:val="301"/>
          <w:jc w:val="center"/>
        </w:trPr>
        <w:tc>
          <w:tcPr>
            <w:tcW w:w="0" w:type="auto"/>
            <w:gridSpan w:val="6"/>
            <w:tcBorders>
              <w:top w:val="nil"/>
              <w:left w:val="single" w:sz="8" w:space="0" w:color="auto"/>
              <w:bottom w:val="single" w:sz="4"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За всички други начини на употреба не се извършва количествена оценка на експозицията за околната среда, понеже</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Работни условия и мерките за управление на риска не са толкова строги, както при защита на селскостопанската почва или третирането на почвата при гражданското строителство</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Варта е ингредиент и химически е свързана в матрица. Отделянията са незначителни и недостатъчни да предизвикат промяна на pH в почвата, отходните и повърхностните води</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Варта се използва специално за отделяне на свободен от CO2 въздух за дишане, при реакция с CO2. Този начин на употреба се отнася само до въздушния компонент на околната среда, където се използват характеристиките на варта </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Неутрализацията/промяната на pH е целта на процеса и не се наблюдават допълнителни, нежелателни въздействия. </w:t>
            </w:r>
          </w:p>
        </w:tc>
      </w:tr>
      <w:tr w:rsidR="008D6E9B" w:rsidRPr="0070774F">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 xml:space="preserve">4. Ръководство за </w:t>
            </w:r>
            <w:r>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D6E9B" w:rsidRPr="0070774F">
        <w:trPr>
          <w:cantSplit/>
          <w:trHeight w:val="1310"/>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дермалната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скалиращ инструмент, като MEASE (</w:t>
            </w:r>
            <w:hyperlink r:id="rId27"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глосара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w:t>
            </w:r>
            <w:r>
              <w:rPr>
                <w:rFonts w:ascii="Arial" w:hAnsi="Arial" w:cs="Arial"/>
                <w:sz w:val="16"/>
                <w:szCs w:val="16"/>
                <w:lang w:val="bg-BG"/>
              </w:rPr>
              <w:t>а със запрашеност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D6E9B" w:rsidRPr="00703017" w:rsidRDefault="008D6E9B" w:rsidP="009D4C75">
            <w:pPr>
              <w:spacing w:before="60" w:after="60" w:line="240" w:lineRule="auto"/>
              <w:rPr>
                <w:rFonts w:ascii="Arial" w:hAnsi="Arial" w:cs="Arial"/>
                <w:sz w:val="20"/>
                <w:szCs w:val="20"/>
                <w:lang w:val="bg-BG" w:eastAsia="de-DE"/>
              </w:rPr>
            </w:pPr>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r w:rsidRPr="00703017">
              <w:rPr>
                <w:rFonts w:ascii="Arial" w:hAnsi="Arial" w:cs="Arial"/>
                <w:sz w:val="20"/>
                <w:szCs w:val="20"/>
                <w:lang w:val="bg-BG"/>
              </w:rPr>
              <w:t>:</w:t>
            </w:r>
            <w:r w:rsidRPr="00703017">
              <w:rPr>
                <w:rFonts w:ascii="Arial" w:hAnsi="Arial" w:cs="Arial"/>
                <w:sz w:val="20"/>
                <w:szCs w:val="20"/>
                <w:lang w:val="bg-BG"/>
              </w:rPr>
              <w:tab/>
              <w:t>1 mg/m³ (като вдишван прах)</w:t>
            </w:r>
          </w:p>
          <w:p w:rsidR="008D6E9B" w:rsidRPr="00703017" w:rsidRDefault="008D6E9B" w:rsidP="009D4C75">
            <w:pPr>
              <w:tabs>
                <w:tab w:val="left" w:pos="1701"/>
              </w:tabs>
              <w:spacing w:before="60" w:after="60" w:line="240" w:lineRule="auto"/>
              <w:rPr>
                <w:rFonts w:ascii="Arial" w:hAnsi="Arial" w:cs="Arial"/>
                <w:sz w:val="20"/>
                <w:szCs w:val="20"/>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mg/m³.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bl>
    <w:p w:rsidR="008D6E9B" w:rsidRPr="00703017" w:rsidRDefault="008D6E9B" w:rsidP="001F68EB">
      <w:pPr>
        <w:rPr>
          <w:lang w:val="bg-BG"/>
        </w:rPr>
      </w:pPr>
    </w:p>
    <w:p w:rsidR="008D6E9B" w:rsidRPr="00703017" w:rsidRDefault="008D6E9B" w:rsidP="001F68EB">
      <w:pPr>
        <w:rPr>
          <w:lang w:val="bg-BG"/>
        </w:rPr>
      </w:pPr>
    </w:p>
    <w:p w:rsidR="008D6E9B" w:rsidRPr="00703017" w:rsidRDefault="008D6E9B" w:rsidP="000F00A4">
      <w:pPr>
        <w:keepNext/>
        <w:spacing w:before="120" w:after="60" w:line="240" w:lineRule="auto"/>
        <w:rPr>
          <w:rFonts w:ascii="Arial" w:hAnsi="Arial" w:cs="Arial"/>
          <w:b/>
          <w:bCs/>
          <w:sz w:val="20"/>
          <w:szCs w:val="20"/>
          <w:lang w:val="bg-BG"/>
        </w:rPr>
        <w:sectPr w:rsidR="008D6E9B" w:rsidRPr="00703017" w:rsidSect="006A0CE4">
          <w:headerReference w:type="default" r:id="rId28"/>
          <w:footerReference w:type="default" r:id="rId29"/>
          <w:pgSz w:w="11906" w:h="16838"/>
          <w:pgMar w:top="1417" w:right="1417" w:bottom="1134" w:left="1417" w:header="708" w:footer="708" w:gutter="0"/>
          <w:cols w:space="708"/>
          <w:docGrid w:linePitch="360"/>
        </w:sectPr>
      </w:pPr>
    </w:p>
    <w:p w:rsidR="008D6E9B" w:rsidRPr="00703017" w:rsidRDefault="008D6E9B" w:rsidP="004B205A">
      <w:pPr>
        <w:keepNext/>
        <w:pageBreakBefore/>
        <w:tabs>
          <w:tab w:val="left" w:pos="1418"/>
        </w:tabs>
        <w:spacing w:before="240" w:after="60"/>
        <w:outlineLvl w:val="1"/>
        <w:rPr>
          <w:rFonts w:ascii="Arial" w:hAnsi="Arial" w:cs="Arial"/>
          <w:b/>
          <w:bCs/>
          <w:sz w:val="28"/>
          <w:szCs w:val="28"/>
          <w:lang w:val="bg-BG"/>
        </w:rPr>
      </w:pPr>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8: Професионална употреба на средно запрашени твърди/прахообразни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p>
    <w:tbl>
      <w:tblPr>
        <w:tblW w:w="0" w:type="auto"/>
        <w:jc w:val="center"/>
        <w:tblCellMar>
          <w:left w:w="70" w:type="dxa"/>
          <w:right w:w="70" w:type="dxa"/>
        </w:tblCellMar>
        <w:tblLook w:val="00A0" w:firstRow="1" w:lastRow="0" w:firstColumn="1" w:lastColumn="0" w:noHBand="0" w:noVBand="0"/>
      </w:tblPr>
      <w:tblGrid>
        <w:gridCol w:w="1590"/>
        <w:gridCol w:w="2566"/>
        <w:gridCol w:w="1467"/>
        <w:gridCol w:w="1628"/>
        <w:gridCol w:w="1801"/>
      </w:tblGrid>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D6E9B" w:rsidRPr="0070774F">
        <w:trPr>
          <w:trHeight w:val="315"/>
          <w:jc w:val="center"/>
        </w:trPr>
        <w:tc>
          <w:tcPr>
            <w:tcW w:w="0" w:type="auto"/>
            <w:tcBorders>
              <w:top w:val="nil"/>
              <w:left w:val="single" w:sz="8" w:space="0" w:color="auto"/>
              <w:bottom w:val="single" w:sz="4" w:space="0" w:color="auto"/>
              <w:right w:val="single" w:sz="4"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4"/>
            <w:tcBorders>
              <w:top w:val="single" w:sz="8" w:space="0" w:color="auto"/>
              <w:left w:val="single" w:sz="4" w:space="0" w:color="auto"/>
              <w:bottom w:val="single" w:sz="4" w:space="0" w:color="auto"/>
              <w:right w:val="single" w:sz="8"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Професионална употреба на средно запрашени твърди/прахообразни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D6E9B" w:rsidRPr="0070774F">
        <w:trPr>
          <w:trHeight w:val="1349"/>
          <w:jc w:val="center"/>
        </w:trPr>
        <w:tc>
          <w:tcPr>
            <w:tcW w:w="0" w:type="auto"/>
            <w:tcBorders>
              <w:top w:val="single" w:sz="4" w:space="0" w:color="auto"/>
              <w:left w:val="single" w:sz="8" w:space="0" w:color="auto"/>
              <w:bottom w:val="single" w:sz="4" w:space="0" w:color="auto"/>
              <w:right w:val="single" w:sz="4"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SU22, SU1, SU5, SU6a, SU6b, SU7, SU10, SU11, SU12, SU13, SU16, SU17, SU18, SU19, SU20, SU23, SU24</w:t>
            </w:r>
            <w:r w:rsidRPr="00703017">
              <w:rPr>
                <w:lang w:val="bg-BG"/>
              </w:rPr>
              <w:br/>
            </w:r>
            <w:r w:rsidRPr="00703017">
              <w:rPr>
                <w:rFonts w:ascii="Arial" w:hAnsi="Arial" w:cs="Arial"/>
                <w:sz w:val="16"/>
                <w:szCs w:val="16"/>
                <w:lang w:val="bg-BG"/>
              </w:rPr>
              <w:t>PC1, PC2, PC3, PC7, PC8, PC9a, PC9b, PC11, PC12, PC13, PC14, PC15, PC16, PC17, PC18, PC19, PC20, PC21, PC23, PC24, PC25, PC26, PC27, PC28, PC29, PC30, PC31, PC32, PC33, PC34, PC35, PC36, PC37, PC39, PC40</w:t>
            </w:r>
            <w:r w:rsidRPr="00703017">
              <w:rPr>
                <w:lang w:val="bg-BG"/>
              </w:rPr>
              <w:br/>
            </w:r>
            <w:r w:rsidRPr="00703017">
              <w:rPr>
                <w:rFonts w:ascii="Arial" w:hAnsi="Arial" w:cs="Arial"/>
                <w:sz w:val="16"/>
                <w:szCs w:val="16"/>
                <w:lang w:val="bg-BG"/>
              </w:rPr>
              <w:t>AC1, AC2, AC3, AC4, AC5, AC6, AC7, AC8, AC10, AC11, AC13</w:t>
            </w:r>
          </w:p>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D6E9B" w:rsidRPr="0070774F">
        <w:trPr>
          <w:trHeight w:val="525"/>
          <w:jc w:val="center"/>
        </w:trPr>
        <w:tc>
          <w:tcPr>
            <w:tcW w:w="0" w:type="auto"/>
            <w:tcBorders>
              <w:top w:val="single" w:sz="4" w:space="0" w:color="auto"/>
              <w:left w:val="single" w:sz="8" w:space="0" w:color="auto"/>
              <w:bottom w:val="single" w:sz="4" w:space="0" w:color="auto"/>
              <w:right w:val="single" w:sz="4"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D6E9B" w:rsidRPr="00703017">
        <w:trPr>
          <w:trHeight w:val="444"/>
          <w:jc w:val="center"/>
        </w:trPr>
        <w:tc>
          <w:tcPr>
            <w:tcW w:w="0" w:type="auto"/>
            <w:tcBorders>
              <w:top w:val="single" w:sz="4" w:space="0" w:color="auto"/>
              <w:left w:val="single" w:sz="8" w:space="0" w:color="auto"/>
              <w:bottom w:val="single" w:sz="8" w:space="0" w:color="auto"/>
              <w:right w:val="single" w:sz="4" w:space="0" w:color="auto"/>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4"/>
            <w:tcBorders>
              <w:top w:val="single" w:sz="4" w:space="0" w:color="auto"/>
              <w:left w:val="single" w:sz="4" w:space="0" w:color="auto"/>
              <w:bottom w:val="single" w:sz="8" w:space="0" w:color="auto"/>
              <w:right w:val="single" w:sz="8"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 Оценката за околната среда се основава на FOCUS-Exposit.</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D6E9B" w:rsidRPr="00703017">
        <w:trPr>
          <w:trHeight w:val="315"/>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PROC/ERC</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0" w:type="auto"/>
            <w:gridSpan w:val="2"/>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непрекъснат процес със случайно контролирана експозиция</w:t>
            </w:r>
          </w:p>
        </w:tc>
        <w:tc>
          <w:tcPr>
            <w:tcW w:w="0" w:type="auto"/>
            <w:gridSpan w:val="2"/>
            <w:vMerge w:val="restart"/>
            <w:tcBorders>
              <w:top w:val="single" w:sz="4" w:space="0" w:color="000000"/>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Повече информация е представена в Ръководството ECHA за информационните изисквания и оценка на безопасността на химичните вещаства, Глава R.12: Дескрипторна система на употребите (ECHA-2010-G-05-EN).</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3</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периодичен процес (синтез или формулиране)</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периодичен или друг процес (синтез), където се появява възможност за експозиция</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5</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Смесване или блендиране в периодичен процес за формулиране на препарати и изделия (многостепенен и/или значителен контакт)</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8a</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общи съоръжения</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8b</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специални съоръжения</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9</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в малки контейнери (специална линия за пълнене, включително претегляне)</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10</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Нанасяне с валяк или с четка</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11</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Пулверизиране извън промишлена среда</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13</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Третиране на изделия при боядисване чрез потапяне и изливане</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15</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лабораторни реагенти</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16</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материал като горивен източник, очаква се ограничена експозиция към неизгорял продукт</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Смазване при високо енергийни условия и в частично открит процес</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18</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Гресиране при високо енергийни условия</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Ръчно смесване с близък контакт и налични само ЛПС</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Други горещи работни операции с метали</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8"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26</w:t>
            </w:r>
          </w:p>
        </w:tc>
        <w:tc>
          <w:tcPr>
            <w:tcW w:w="0" w:type="auto"/>
            <w:gridSpan w:val="2"/>
            <w:tcBorders>
              <w:top w:val="single" w:sz="4" w:space="0" w:color="000000"/>
              <w:left w:val="nil"/>
              <w:bottom w:val="single" w:sz="8"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Обработка на твърди неорганични вещества при нормална температура на околната среда</w:t>
            </w:r>
          </w:p>
        </w:tc>
        <w:tc>
          <w:tcPr>
            <w:tcW w:w="0" w:type="auto"/>
            <w:gridSpan w:val="2"/>
            <w:vMerge/>
            <w:tcBorders>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8"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 xml:space="preserve">ERC2, ERC8a, ERC8b, ERC8c, </w:t>
            </w:r>
            <w:r w:rsidRPr="00703017">
              <w:rPr>
                <w:rFonts w:ascii="Arial" w:hAnsi="Arial" w:cs="Arial"/>
                <w:b/>
                <w:bCs/>
                <w:sz w:val="16"/>
                <w:szCs w:val="16"/>
                <w:lang w:val="bg-BG"/>
              </w:rPr>
              <w:lastRenderedPageBreak/>
              <w:t>ERC8d, ERC8e, ERC8f</w:t>
            </w:r>
          </w:p>
        </w:tc>
        <w:tc>
          <w:tcPr>
            <w:tcW w:w="0" w:type="auto"/>
            <w:gridSpan w:val="2"/>
            <w:tcBorders>
              <w:top w:val="single" w:sz="4" w:space="0" w:color="000000"/>
              <w:left w:val="nil"/>
              <w:bottom w:val="single" w:sz="8"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lastRenderedPageBreak/>
              <w:t>Широко дисперсивна употреба на открито и закрито на реактивни вещества или подобрители на процеса в отворени системи</w:t>
            </w:r>
          </w:p>
        </w:tc>
        <w:tc>
          <w:tcPr>
            <w:tcW w:w="0" w:type="auto"/>
            <w:gridSpan w:val="2"/>
            <w:vMerge/>
            <w:tcBorders>
              <w:left w:val="nil"/>
              <w:bottom w:val="single" w:sz="8" w:space="0" w:color="000000"/>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2.1 Контрол на експозицията на работниците</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trHeight w:val="84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абразивност се взема предвид нивото й, вместо вътрешно присъщия емисионен потенциал на веществото.</w:t>
            </w:r>
          </w:p>
        </w:tc>
      </w:tr>
      <w:tr w:rsidR="008D6E9B" w:rsidRPr="00703017">
        <w:trPr>
          <w:trHeight w:val="301"/>
          <w:jc w:val="center"/>
        </w:trPr>
        <w:tc>
          <w:tcPr>
            <w:tcW w:w="0" w:type="auto"/>
            <w:tcBorders>
              <w:top w:val="nil"/>
              <w:left w:val="single" w:sz="8" w:space="0" w:color="auto"/>
              <w:bottom w:val="single" w:sz="4" w:space="0" w:color="000000"/>
              <w:right w:val="single" w:sz="4" w:space="0" w:color="auto"/>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r w:rsidRPr="00703017">
              <w:rPr>
                <w:lang w:val="bg-BG"/>
              </w:rPr>
              <w:br/>
            </w:r>
            <w:r w:rsidRPr="00703017">
              <w:rPr>
                <w:rFonts w:ascii="Arial" w:hAnsi="Arial" w:cs="Arial"/>
                <w:sz w:val="16"/>
                <w:szCs w:val="16"/>
                <w:lang w:val="bg-BG"/>
              </w:rPr>
              <w:t>разтопени</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D6E9B" w:rsidRPr="00703017">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среден</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774F">
        <w:trPr>
          <w:trHeight w:val="673"/>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D6E9B" w:rsidRPr="00703017" w:rsidRDefault="008D6E9B"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детерминант на вътрешно присъщия на процеса емисионен потенциал.</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11, 16, 17, 18, 19</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D6E9B" w:rsidRPr="00703017">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D6E9B" w:rsidRPr="0070774F">
        <w:trPr>
          <w:trHeight w:val="315"/>
          <w:jc w:val="center"/>
        </w:trPr>
        <w:tc>
          <w:tcPr>
            <w:tcW w:w="0" w:type="auto"/>
            <w:gridSpan w:val="5"/>
            <w:tcBorders>
              <w:top w:val="single" w:sz="4"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Работни условия, като температура и налягане на процеса, се считат за ирелевантни при оценката на професионалната експозиция на извършваните процеси. На етапи на процеса с много висока температура (напр. PROC 22, 23, 25), оценката на експозицията в MEASE обаче се основава и на отношението между температурата на процеса и точката на разтапяне. Тъй като свързаните с процеса температури се различават значително в различните производства, най-високият процент се приема за най-лошия случай на презумпция за целите на оценката на експозицията. По такъв начин всички температури на процеса автоматично се покриват в този сценарий на експозиция за PROC 22, 23 и PROC 25.</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Измервания на ниво процес като елемент на управлението на риска (напр. задържане или сегрегиране на емисионния източник) по принцип не се изискват при процесите.</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контрол на дисперсията от източника към работника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tcBorders>
              <w:top w:val="nil"/>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tcBorders>
              <w:top w:val="nil"/>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D6E9B" w:rsidRPr="00703017">
        <w:trPr>
          <w:trHeight w:val="520"/>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11, 16</w:t>
            </w:r>
          </w:p>
        </w:tc>
        <w:tc>
          <w:tcPr>
            <w:tcW w:w="0" w:type="auto"/>
            <w:vMerge w:val="restart"/>
            <w:tcBorders>
              <w:top w:val="single" w:sz="4" w:space="0" w:color="000000"/>
              <w:left w:val="nil"/>
              <w:right w:val="single" w:sz="4" w:space="0" w:color="auto"/>
            </w:tcBorders>
            <w:vAlign w:val="center"/>
          </w:tcPr>
          <w:p w:rsidR="008D6E9B" w:rsidRPr="00703017" w:rsidRDefault="008D6E9B" w:rsidP="009D4C75">
            <w:pPr>
              <w:jc w:val="center"/>
              <w:rPr>
                <w:rFonts w:ascii="Arial" w:hAnsi="Arial" w:cs="Arial"/>
                <w:sz w:val="16"/>
                <w:szCs w:val="16"/>
                <w:lang w:val="bg-BG" w:eastAsia="de-DE"/>
              </w:rPr>
            </w:pPr>
            <w:r w:rsidRPr="00703017">
              <w:rPr>
                <w:rFonts w:ascii="Arial" w:hAnsi="Arial" w:cs="Arial"/>
                <w:sz w:val="16"/>
                <w:szCs w:val="16"/>
                <w:lang w:val="bg-BG"/>
              </w:rPr>
              <w:t xml:space="preserve">Всяко потенциално налагащо се откъсване на работниците от емисионния източник се включва по-горе под надслова </w:t>
            </w:r>
            <w:r>
              <w:rPr>
                <w:rFonts w:ascii="Arial" w:hAnsi="Arial" w:cs="Arial"/>
                <w:sz w:val="16"/>
                <w:szCs w:val="16"/>
                <w:lang w:val="bg-BG"/>
              </w:rPr>
              <w:t>„</w:t>
            </w:r>
            <w:r w:rsidRPr="00703017">
              <w:rPr>
                <w:rFonts w:ascii="Arial" w:hAnsi="Arial" w:cs="Arial"/>
                <w:sz w:val="16"/>
                <w:szCs w:val="16"/>
                <w:lang w:val="bg-BG"/>
              </w:rPr>
              <w:t>Честота и 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Намаляване на продължителността на експозицията може да се постигне, примерно, чрез инсталиране на вентилирани контролни стаи (позитивно налягане) или чрез извеждане на работника от работното </w:t>
            </w:r>
            <w:r w:rsidRPr="00703017">
              <w:rPr>
                <w:rFonts w:ascii="Arial" w:hAnsi="Arial" w:cs="Arial"/>
                <w:sz w:val="16"/>
                <w:szCs w:val="16"/>
                <w:lang w:val="bg-BG"/>
              </w:rPr>
              <w:lastRenderedPageBreak/>
              <w:t>място със съответната експозиция.</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lastRenderedPageBreak/>
              <w:t>обща локална вентилация на отработените газове</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72 %</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52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17, 18</w:t>
            </w:r>
          </w:p>
        </w:tc>
        <w:tc>
          <w:tcPr>
            <w:tcW w:w="0" w:type="auto"/>
            <w:vMerge/>
            <w:tcBorders>
              <w:left w:val="nil"/>
              <w:right w:val="single" w:sz="4" w:space="0" w:color="auto"/>
            </w:tcBorders>
            <w:vAlign w:val="center"/>
          </w:tcPr>
          <w:p w:rsidR="008D6E9B" w:rsidRPr="00703017" w:rsidRDefault="008D6E9B" w:rsidP="009D4C75">
            <w:pPr>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интегрирана локална вентилация на отработените газове</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87 %</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52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vMerge/>
            <w:tcBorders>
              <w:left w:val="nil"/>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неприложимо</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521"/>
          <w:jc w:val="center"/>
        </w:trPr>
        <w:tc>
          <w:tcPr>
            <w:tcW w:w="0" w:type="auto"/>
            <w:tcBorders>
              <w:top w:val="nil"/>
              <w:left w:val="single" w:sz="8" w:space="0" w:color="auto"/>
              <w:bottom w:val="single" w:sz="4" w:space="0" w:color="auto"/>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Merge/>
            <w:tcBorders>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auto"/>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tcBorders>
              <w:top w:val="single" w:sz="4" w:space="0" w:color="000000"/>
              <w:left w:val="single" w:sz="4" w:space="0" w:color="auto"/>
              <w:bottom w:val="single" w:sz="4" w:space="0" w:color="auto"/>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315"/>
          <w:jc w:val="center"/>
        </w:trPr>
        <w:tc>
          <w:tcPr>
            <w:tcW w:w="0" w:type="auto"/>
            <w:gridSpan w:val="5"/>
            <w:tcBorders>
              <w:top w:val="single" w:sz="4"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отделянията, дисперсията и експозицията</w:t>
            </w:r>
          </w:p>
        </w:tc>
      </w:tr>
      <w:tr w:rsidR="008D6E9B" w:rsidRPr="0070774F">
        <w:trPr>
          <w:trHeight w:val="882"/>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w:t>
            </w:r>
            <w:r>
              <w:rPr>
                <w:rFonts w:ascii="Arial" w:hAnsi="Arial" w:cs="Arial"/>
                <w:sz w:val="16"/>
                <w:szCs w:val="16"/>
                <w:lang w:val="bg-BG"/>
              </w:rPr>
              <w:t>яна. Не носете заразени дрехи в</w:t>
            </w:r>
            <w:r w:rsidRPr="00703017">
              <w:rPr>
                <w:rFonts w:ascii="Arial" w:hAnsi="Arial" w:cs="Arial"/>
                <w:sz w:val="16"/>
                <w:szCs w:val="16"/>
                <w:lang w:val="bg-BG"/>
              </w:rPr>
              <w:t>къщи. Не издухвайте праха с въздух под налягане.</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за лична защита, хигиена и оценка на здравето</w:t>
            </w:r>
          </w:p>
        </w:tc>
      </w:tr>
      <w:tr w:rsidR="008D6E9B" w:rsidRPr="0070774F">
        <w:trPr>
          <w:trHeight w:val="301"/>
          <w:jc w:val="center"/>
        </w:trPr>
        <w:tc>
          <w:tcPr>
            <w:tcW w:w="0" w:type="auto"/>
            <w:tcBorders>
              <w:top w:val="nil"/>
              <w:left w:val="single" w:sz="8" w:space="0" w:color="auto"/>
              <w:bottom w:val="single" w:sz="4" w:space="0" w:color="000000"/>
              <w:right w:val="single" w:sz="4" w:space="0" w:color="auto"/>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 3, 16, 19</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vMerge w:val="restart"/>
            <w:tcBorders>
              <w:top w:val="single" w:sz="4" w:space="0" w:color="000000"/>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като </w:t>
            </w:r>
            <w:r w:rsidRPr="0070774F">
              <w:rPr>
                <w:rFonts w:ascii="Arial" w:hAnsi="Arial" w:cs="Arial"/>
                <w:sz w:val="16"/>
                <w:szCs w:val="16"/>
                <w:lang w:val="bg-BG"/>
              </w:rPr>
              <w:t>CaO</w:t>
            </w:r>
            <w:r w:rsidRPr="00703017">
              <w:rPr>
                <w:rFonts w:ascii="Arial" w:hAnsi="Arial" w:cs="Arial"/>
                <w:sz w:val="16"/>
                <w:szCs w:val="16"/>
                <w:lang w:val="bg-BG"/>
              </w:rPr>
              <w:t xml:space="preserve"> е класифицирано като дразнещо кожата, задължителна е употребата на защитни ръкавици на всички етапи на процеса.</w:t>
            </w:r>
          </w:p>
        </w:tc>
        <w:tc>
          <w:tcPr>
            <w:tcW w:w="0" w:type="auto"/>
            <w:vMerge w:val="restart"/>
            <w:tcBorders>
              <w:top w:val="single" w:sz="4" w:space="0" w:color="000000"/>
              <w:left w:val="single" w:sz="4" w:space="0" w:color="auto"/>
              <w:bottom w:val="single" w:sz="4" w:space="0" w:color="auto"/>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 5, 8a, 8b, 9, 10, 13, 17, 18, 25, 26</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FFP2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APF=10</w:t>
            </w:r>
          </w:p>
        </w:tc>
        <w:tc>
          <w:tcPr>
            <w:tcW w:w="0" w:type="auto"/>
            <w:vMerge/>
            <w:tcBorders>
              <w:top w:val="single" w:sz="4" w:space="0" w:color="auto"/>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tcBorders>
              <w:top w:val="single" w:sz="4" w:space="0" w:color="auto"/>
              <w:left w:val="single" w:sz="4" w:space="0" w:color="auto"/>
              <w:bottom w:val="single" w:sz="4" w:space="0" w:color="auto"/>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11</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APF=10</w:t>
            </w:r>
          </w:p>
        </w:tc>
        <w:tc>
          <w:tcPr>
            <w:tcW w:w="0" w:type="auto"/>
            <w:vMerge/>
            <w:tcBorders>
              <w:top w:val="single" w:sz="4" w:space="0" w:color="auto"/>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tcBorders>
              <w:top w:val="single" w:sz="4" w:space="0" w:color="auto"/>
              <w:left w:val="single" w:sz="4" w:space="0" w:color="auto"/>
              <w:bottom w:val="single" w:sz="4" w:space="0" w:color="auto"/>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15</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vMerge/>
            <w:tcBorders>
              <w:top w:val="single" w:sz="4" w:space="0" w:color="auto"/>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tcBorders>
              <w:top w:val="single" w:sz="4" w:space="0" w:color="auto"/>
              <w:left w:val="single" w:sz="4" w:space="0" w:color="auto"/>
              <w:bottom w:val="single" w:sz="4" w:space="0" w:color="auto"/>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454"/>
          <w:jc w:val="center"/>
        </w:trPr>
        <w:tc>
          <w:tcPr>
            <w:tcW w:w="0" w:type="auto"/>
            <w:gridSpan w:val="5"/>
            <w:tcBorders>
              <w:top w:val="nil"/>
              <w:left w:val="single" w:sz="8" w:space="0" w:color="auto"/>
              <w:bottom w:val="single" w:sz="8" w:space="0" w:color="auto"/>
              <w:right w:val="single" w:sz="8" w:space="0" w:color="auto"/>
            </w:tcBorders>
            <w:vAlign w:val="center"/>
          </w:tcPr>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D6E9B" w:rsidRPr="00703017" w:rsidRDefault="008D6E9B"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Общ преглед на APF на различните RPE (съгласно BS EN 529:2005) може да се намери в глосара на MEASE.</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495CFE">
            <w:pPr>
              <w:keepNext/>
              <w:spacing w:line="240" w:lineRule="auto"/>
              <w:ind w:left="448" w:hanging="434"/>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2.2 Контрол на експозицията за околната среда – отнася се само до защита на селскостопанската почва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cantSplit/>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A61D7B"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p>
          <w:p w:rsidR="008D6E9B" w:rsidRPr="00703017" w:rsidRDefault="001D5CEE" w:rsidP="00F86E80">
            <w:pPr>
              <w:spacing w:line="240" w:lineRule="auto"/>
              <w:ind w:left="2832"/>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476625" cy="2705100"/>
                  <wp:effectExtent l="0" t="0" r="9525" b="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625" cy="2705100"/>
                          </a:xfrm>
                          <a:prstGeom prst="rect">
                            <a:avLst/>
                          </a:prstGeom>
                          <a:noFill/>
                          <a:ln>
                            <a:noFill/>
                          </a:ln>
                        </pic:spPr>
                      </pic:pic>
                    </a:graphicData>
                  </a:graphic>
                </wp:inline>
              </w:drawing>
            </w:r>
          </w:p>
          <w:p w:rsidR="008D6E9B" w:rsidRPr="00703017" w:rsidRDefault="008D6E9B" w:rsidP="009D4C75">
            <w:pPr>
              <w:spacing w:line="240" w:lineRule="auto"/>
              <w:ind w:left="2880"/>
              <w:jc w:val="both"/>
              <w:rPr>
                <w:rFonts w:ascii="Arial" w:hAnsi="Arial" w:cs="Arial"/>
                <w:sz w:val="16"/>
                <w:szCs w:val="16"/>
                <w:highlight w:val="yellow"/>
                <w:lang w:val="bg-BG" w:eastAsia="de-DE"/>
              </w:rPr>
            </w:pPr>
            <w:r w:rsidRPr="00703017">
              <w:rPr>
                <w:rFonts w:ascii="Arial" w:hAnsi="Arial" w:cs="Arial"/>
                <w:sz w:val="16"/>
                <w:szCs w:val="16"/>
                <w:lang w:val="bg-BG"/>
              </w:rPr>
              <w:t>(Фигурата е взета от: Laudet, A. et al., 1999)</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3017">
        <w:trPr>
          <w:trHeight w:val="301"/>
          <w:jc w:val="center"/>
        </w:trPr>
        <w:tc>
          <w:tcPr>
            <w:tcW w:w="0" w:type="auto"/>
            <w:tcBorders>
              <w:top w:val="nil"/>
              <w:left w:val="single" w:sz="8" w:space="0" w:color="auto"/>
              <w:right w:val="single" w:sz="4" w:space="0" w:color="auto"/>
            </w:tcBorders>
            <w:vAlign w:val="center"/>
          </w:tcPr>
          <w:p w:rsidR="008D6E9B" w:rsidRPr="0070774F" w:rsidRDefault="008D6E9B" w:rsidP="00B71C2F">
            <w:pPr>
              <w:keepNext/>
              <w:spacing w:line="240" w:lineRule="auto"/>
              <w:rPr>
                <w:rFonts w:ascii="Arial" w:hAnsi="Arial" w:cs="Arial"/>
                <w:sz w:val="16"/>
                <w:szCs w:val="16"/>
                <w:lang w:val="bg-BG" w:eastAsia="de-DE"/>
              </w:rPr>
            </w:pPr>
            <w:r w:rsidRPr="0070774F">
              <w:rPr>
                <w:rFonts w:ascii="Arial" w:hAnsi="Arial" w:cs="Arial"/>
                <w:sz w:val="16"/>
                <w:szCs w:val="16"/>
                <w:lang w:val="bg-BG"/>
              </w:rPr>
              <w:t>CaO</w:t>
            </w:r>
          </w:p>
        </w:tc>
        <w:tc>
          <w:tcPr>
            <w:tcW w:w="0" w:type="auto"/>
            <w:gridSpan w:val="4"/>
            <w:tcBorders>
              <w:top w:val="nil"/>
              <w:left w:val="nil"/>
              <w:bottom w:val="single" w:sz="4" w:space="0" w:color="auto"/>
              <w:right w:val="single" w:sz="8" w:space="0" w:color="auto"/>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fr-BE"/>
              </w:rPr>
              <w:t>1 700</w:t>
            </w:r>
            <w:r w:rsidRPr="0070774F">
              <w:rPr>
                <w:rFonts w:ascii="Arial" w:hAnsi="Arial" w:cs="Arial"/>
                <w:sz w:val="16"/>
                <w:szCs w:val="16"/>
                <w:lang w:val="bg-BG"/>
              </w:rPr>
              <w:t xml:space="preserve"> kg/ha</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BE0AB7">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1 ден/година (едно прилагане за една година). Позволено е многократно прилагане през годината, при положение че общото годишно количество </w:t>
            </w:r>
            <w:r w:rsidRPr="0070774F">
              <w:rPr>
                <w:rFonts w:ascii="Arial" w:hAnsi="Arial" w:cs="Arial"/>
                <w:sz w:val="16"/>
                <w:szCs w:val="16"/>
                <w:lang w:val="bg-BG"/>
              </w:rPr>
              <w:t>от 1 700 kg/ha не</w:t>
            </w:r>
            <w:r w:rsidRPr="00703017">
              <w:rPr>
                <w:rFonts w:ascii="Arial" w:hAnsi="Arial" w:cs="Arial"/>
                <w:sz w:val="16"/>
                <w:szCs w:val="16"/>
                <w:lang w:val="bg-BG"/>
              </w:rPr>
              <w:t xml:space="preserve"> се надхвърля </w:t>
            </w:r>
            <w:r>
              <w:rPr>
                <w:rFonts w:ascii="Arial" w:hAnsi="Arial" w:cs="Arial"/>
                <w:sz w:val="16"/>
                <w:szCs w:val="16"/>
                <w:highlight w:val="lightGray"/>
                <w:lang w:val="bg-BG"/>
              </w:rPr>
              <w:t>(CaO</w:t>
            </w:r>
            <w:r w:rsidRPr="0087484B">
              <w:rPr>
                <w:rFonts w:ascii="Arial" w:hAnsi="Arial" w:cs="Arial"/>
                <w:sz w:val="16"/>
                <w:szCs w:val="16"/>
                <w:highlight w:val="lightGray"/>
                <w:lang w:val="bg-BG"/>
              </w:rPr>
              <w:t>)</w:t>
            </w:r>
          </w:p>
          <w:p w:rsidR="008D6E9B" w:rsidRPr="00703017" w:rsidRDefault="008D6E9B" w:rsidP="009D4C75">
            <w:pPr>
              <w:spacing w:line="240" w:lineRule="auto"/>
              <w:jc w:val="both"/>
              <w:rPr>
                <w:rFonts w:ascii="Arial" w:hAnsi="Arial" w:cs="Arial"/>
                <w:sz w:val="16"/>
                <w:szCs w:val="16"/>
                <w:lang w:val="bg-BG" w:eastAsia="de-DE"/>
              </w:rPr>
            </w:pP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CCCCC"/>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Обем на повърхностните води: 300 L/m² </w:t>
            </w:r>
          </w:p>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Площ на повърхността: 1 ha</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3017">
        <w:trPr>
          <w:trHeight w:val="352"/>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Няма директни отделяния в прилежащите повърхностни води.</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намаляване или ограничаване на отделянията, емисиите във въздуха и почвата</w:t>
            </w:r>
          </w:p>
        </w:tc>
      </w:tr>
      <w:tr w:rsidR="008D6E9B" w:rsidRPr="00703017">
        <w:trPr>
          <w:trHeight w:val="362"/>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отделянето от обекта</w:t>
            </w:r>
          </w:p>
        </w:tc>
      </w:tr>
      <w:tr w:rsidR="008D6E9B" w:rsidRPr="00703017">
        <w:trPr>
          <w:trHeight w:val="52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В съответствие с изискванията на добрата селскостопанска практика, селскостопанската почва следва да се анализира, преди прилагането на вар и степента на прилагане трябва да се съобрази с резултатите от анализа.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495CFE">
            <w:pPr>
              <w:keepNext/>
              <w:spacing w:line="240" w:lineRule="auto"/>
              <w:ind w:left="392" w:hanging="392"/>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2.2 Контрол на експозицията за околната среда – отнася се само до третиране на почвата в гражданското строителство</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cantSplit/>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highlight w:val="yellow"/>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r w:rsidRPr="00703017">
              <w:rPr>
                <w:rFonts w:ascii="Arial" w:hAnsi="Arial" w:cs="Arial"/>
                <w:sz w:val="16"/>
                <w:szCs w:val="16"/>
                <w:highlight w:val="yellow"/>
                <w:lang w:val="bg-BG"/>
              </w:rPr>
              <w:t xml:space="preserve"> </w:t>
            </w:r>
          </w:p>
          <w:p w:rsidR="008D6E9B" w:rsidRPr="00703017" w:rsidRDefault="001D5CEE" w:rsidP="00F86E80">
            <w:pPr>
              <w:spacing w:line="240" w:lineRule="auto"/>
              <w:ind w:left="2832"/>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476625" cy="2705100"/>
                  <wp:effectExtent l="0" t="0" r="9525" b="0"/>
                  <wp:docPr id="16"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625" cy="2705100"/>
                          </a:xfrm>
                          <a:prstGeom prst="rect">
                            <a:avLst/>
                          </a:prstGeom>
                          <a:noFill/>
                          <a:ln>
                            <a:noFill/>
                          </a:ln>
                        </pic:spPr>
                      </pic:pic>
                    </a:graphicData>
                  </a:graphic>
                </wp:inline>
              </w:drawing>
            </w:r>
          </w:p>
          <w:p w:rsidR="008D6E9B" w:rsidRPr="00703017" w:rsidRDefault="008D6E9B" w:rsidP="009D4C75">
            <w:pPr>
              <w:spacing w:line="240" w:lineRule="auto"/>
              <w:ind w:left="2880"/>
              <w:jc w:val="both"/>
              <w:rPr>
                <w:rFonts w:ascii="Arial" w:hAnsi="Arial" w:cs="Arial"/>
                <w:sz w:val="16"/>
                <w:szCs w:val="16"/>
                <w:lang w:val="bg-BG" w:eastAsia="de-DE"/>
              </w:rPr>
            </w:pPr>
            <w:r w:rsidRPr="00703017">
              <w:rPr>
                <w:rFonts w:ascii="Arial" w:hAnsi="Arial" w:cs="Arial"/>
                <w:sz w:val="16"/>
                <w:szCs w:val="16"/>
                <w:lang w:val="bg-BG"/>
              </w:rPr>
              <w:t>(Фигурата е взета от: Laudet, A. et al., 1999)</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3017">
        <w:trPr>
          <w:trHeight w:val="301"/>
          <w:jc w:val="center"/>
        </w:trPr>
        <w:tc>
          <w:tcPr>
            <w:tcW w:w="0" w:type="auto"/>
            <w:tcBorders>
              <w:top w:val="nil"/>
              <w:left w:val="single" w:sz="8" w:space="0" w:color="auto"/>
              <w:right w:val="single" w:sz="4" w:space="0" w:color="auto"/>
            </w:tcBorders>
            <w:vAlign w:val="center"/>
          </w:tcPr>
          <w:p w:rsidR="008D6E9B" w:rsidRPr="0070774F" w:rsidRDefault="008D6E9B" w:rsidP="00B71C2F">
            <w:pPr>
              <w:keepNext/>
              <w:spacing w:line="240" w:lineRule="auto"/>
              <w:rPr>
                <w:rFonts w:ascii="Arial" w:hAnsi="Arial" w:cs="Arial"/>
                <w:sz w:val="16"/>
                <w:szCs w:val="16"/>
                <w:lang w:val="bg-BG" w:eastAsia="de-DE"/>
              </w:rPr>
            </w:pPr>
            <w:r w:rsidRPr="0070774F">
              <w:rPr>
                <w:rFonts w:ascii="Arial" w:hAnsi="Arial" w:cs="Arial"/>
                <w:sz w:val="16"/>
                <w:szCs w:val="16"/>
                <w:lang w:val="bg-BG"/>
              </w:rPr>
              <w:t>CaO</w:t>
            </w:r>
          </w:p>
        </w:tc>
        <w:tc>
          <w:tcPr>
            <w:tcW w:w="0" w:type="auto"/>
            <w:gridSpan w:val="4"/>
            <w:tcBorders>
              <w:top w:val="nil"/>
              <w:left w:val="nil"/>
              <w:bottom w:val="single" w:sz="4" w:space="0" w:color="auto"/>
              <w:right w:val="single" w:sz="8" w:space="0" w:color="auto"/>
            </w:tcBorders>
            <w:vAlign w:val="center"/>
          </w:tcPr>
          <w:p w:rsidR="008D6E9B" w:rsidRPr="0070774F" w:rsidRDefault="008D6E9B" w:rsidP="00EB4B98">
            <w:pPr>
              <w:keepNext/>
              <w:spacing w:line="240" w:lineRule="auto"/>
              <w:jc w:val="center"/>
              <w:rPr>
                <w:rFonts w:ascii="Arial" w:hAnsi="Arial" w:cs="Arial"/>
                <w:sz w:val="16"/>
                <w:szCs w:val="16"/>
                <w:lang w:val="bg-BG" w:eastAsia="de-DE"/>
              </w:rPr>
            </w:pPr>
            <w:r w:rsidRPr="0070774F">
              <w:rPr>
                <w:rFonts w:ascii="Arial" w:hAnsi="Arial" w:cs="Arial"/>
                <w:sz w:val="16"/>
                <w:szCs w:val="16"/>
                <w:lang w:val="fr-BE"/>
              </w:rPr>
              <w:t>180 000</w:t>
            </w:r>
            <w:r w:rsidRPr="0070774F">
              <w:rPr>
                <w:rFonts w:ascii="Arial" w:hAnsi="Arial" w:cs="Arial"/>
                <w:sz w:val="16"/>
                <w:szCs w:val="16"/>
                <w:lang w:val="bg-BG"/>
              </w:rPr>
              <w:t xml:space="preserve"> kg/ha</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774F" w:rsidRDefault="008D6E9B" w:rsidP="009D4C75">
            <w:pPr>
              <w:keepNext/>
              <w:spacing w:line="240" w:lineRule="auto"/>
              <w:jc w:val="both"/>
              <w:rPr>
                <w:rFonts w:ascii="Arial" w:hAnsi="Arial" w:cs="Arial"/>
                <w:b/>
                <w:bCs/>
                <w:color w:val="0000FF"/>
                <w:sz w:val="16"/>
                <w:szCs w:val="16"/>
                <w:lang w:val="bg-BG" w:eastAsia="de-DE"/>
              </w:rPr>
            </w:pPr>
            <w:r w:rsidRPr="0070774F">
              <w:rPr>
                <w:rFonts w:ascii="Arial" w:hAnsi="Arial" w:cs="Arial"/>
                <w:b/>
                <w:bCs/>
                <w:color w:val="0000FF"/>
                <w:sz w:val="16"/>
                <w:szCs w:val="16"/>
                <w:lang w:val="bg-BG"/>
              </w:rPr>
              <w:t>Честота и продължителност на употребата</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774F" w:rsidRDefault="008D6E9B" w:rsidP="0087484B">
            <w:pPr>
              <w:spacing w:line="240" w:lineRule="auto"/>
              <w:jc w:val="both"/>
              <w:rPr>
                <w:rFonts w:ascii="Arial" w:hAnsi="Arial" w:cs="Arial"/>
                <w:sz w:val="16"/>
                <w:szCs w:val="16"/>
                <w:lang w:val="bg-BG" w:eastAsia="de-DE"/>
              </w:rPr>
            </w:pPr>
            <w:r w:rsidRPr="0070774F">
              <w:rPr>
                <w:rFonts w:ascii="Arial" w:hAnsi="Arial" w:cs="Arial"/>
                <w:sz w:val="16"/>
                <w:szCs w:val="16"/>
                <w:lang w:val="bg-BG"/>
              </w:rPr>
              <w:t>1 ден/година и само веднъж в живота. Позволено е многократно прилагане през годината, при положение че общото годишно количество от 180 000 kg/ha не се надхвърля (CaO)</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CCCCC"/>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Площ на повърхността: 1 ha</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3017">
        <w:trPr>
          <w:trHeight w:val="52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Варта се прилага само към почвата в техносферата, преди построяването на пътища. Няма директни отделяния в прилежащите повърхностни води.</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D6E9B" w:rsidRPr="00703017">
        <w:trPr>
          <w:trHeight w:val="40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3. Оценка на експозицията и референция на източника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D6E9B" w:rsidRPr="0070774F">
        <w:trPr>
          <w:trHeight w:val="60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774F" w:rsidRDefault="008D6E9B" w:rsidP="009D4C75">
            <w:pPr>
              <w:keepNext/>
              <w:spacing w:line="240" w:lineRule="auto"/>
              <w:rPr>
                <w:rFonts w:ascii="Arial" w:hAnsi="Arial" w:cs="Arial"/>
                <w:sz w:val="16"/>
                <w:szCs w:val="16"/>
                <w:lang w:val="bg-BG" w:eastAsia="de-DE"/>
              </w:rPr>
            </w:pPr>
            <w:r w:rsidRPr="0070774F">
              <w:rPr>
                <w:rFonts w:ascii="Arial" w:hAnsi="Arial" w:cs="Arial"/>
                <w:sz w:val="16"/>
                <w:szCs w:val="16"/>
                <w:lang w:val="bg-BG"/>
              </w:rPr>
              <w:t>Инструментът за оценка на експозицията MEASE се използва за оценка на експозицията при вдишване. Съотношението на характеризиране на риска (RCR) еотношение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за CaO от 1 mg/m³ (като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тъй като вдишаната фракция е подфракция на вдишваната фракция, съгласно EN 481.</w:t>
            </w:r>
          </w:p>
        </w:tc>
      </w:tr>
      <w:tr w:rsidR="008D6E9B" w:rsidRPr="0070774F">
        <w:trPr>
          <w:trHeight w:val="679"/>
          <w:jc w:val="center"/>
        </w:trPr>
        <w:tc>
          <w:tcPr>
            <w:tcW w:w="0" w:type="auto"/>
            <w:tcBorders>
              <w:top w:val="nil"/>
              <w:left w:val="single" w:sz="8" w:space="0" w:color="auto"/>
              <w:bottom w:val="single" w:sz="4" w:space="0" w:color="000000"/>
              <w:right w:val="single" w:sz="4" w:space="0" w:color="auto"/>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Методология, използвана за оценка на експозицията при вдишване</w:t>
            </w:r>
          </w:p>
        </w:tc>
        <w:tc>
          <w:tcPr>
            <w:tcW w:w="0" w:type="auto"/>
            <w:tcBorders>
              <w:top w:val="nil"/>
              <w:left w:val="nil"/>
              <w:bottom w:val="single" w:sz="4" w:space="0" w:color="auto"/>
              <w:right w:val="single" w:sz="4" w:space="0" w:color="auto"/>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на експозиция при вдишване (RCR)</w:t>
            </w:r>
          </w:p>
        </w:tc>
        <w:tc>
          <w:tcPr>
            <w:tcW w:w="0" w:type="auto"/>
            <w:tcBorders>
              <w:top w:val="nil"/>
              <w:left w:val="nil"/>
              <w:bottom w:val="single" w:sz="4" w:space="0" w:color="auto"/>
              <w:right w:val="single" w:sz="4" w:space="0" w:color="auto"/>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Методология, използвана за оценка на дермалната експозиция</w:t>
            </w:r>
          </w:p>
        </w:tc>
        <w:tc>
          <w:tcPr>
            <w:tcW w:w="0" w:type="auto"/>
            <w:tcBorders>
              <w:top w:val="nil"/>
              <w:left w:val="nil"/>
              <w:bottom w:val="single" w:sz="4" w:space="0" w:color="000000"/>
              <w:right w:val="single" w:sz="8" w:space="0" w:color="auto"/>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при дермална експозиция (RCR)</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 3, 4, 5, 8a, 8b, 9, 10, 11, 13, 15, 16, 17, 18, 19, 25, 26</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774F" w:rsidRDefault="008D6E9B" w:rsidP="00285F16">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 xml:space="preserve">&lt; 1 mg/m³ </w:t>
            </w:r>
            <w:r w:rsidRPr="0070774F">
              <w:rPr>
                <w:rFonts w:ascii="Arial" w:hAnsi="Arial" w:cs="Arial"/>
                <w:sz w:val="16"/>
                <w:szCs w:val="16"/>
                <w:lang w:val="bg-BG"/>
              </w:rPr>
              <w:br/>
              <w:t>(0</w:t>
            </w:r>
            <w:r w:rsidRPr="0070774F">
              <w:rPr>
                <w:rFonts w:ascii="Arial" w:hAnsi="Arial" w:cs="Arial"/>
                <w:sz w:val="16"/>
                <w:szCs w:val="16"/>
                <w:lang w:val="de-DE"/>
              </w:rPr>
              <w:t>,</w:t>
            </w:r>
            <w:r w:rsidRPr="0070774F">
              <w:rPr>
                <w:rFonts w:ascii="Arial" w:hAnsi="Arial" w:cs="Arial"/>
                <w:sz w:val="16"/>
                <w:szCs w:val="16"/>
                <w:lang w:val="bg-BG"/>
              </w:rPr>
              <w:t>25 – 0</w:t>
            </w:r>
            <w:r w:rsidRPr="0070774F">
              <w:rPr>
                <w:rFonts w:ascii="Arial" w:hAnsi="Arial" w:cs="Arial"/>
                <w:sz w:val="16"/>
                <w:szCs w:val="16"/>
                <w:lang w:val="de-DE"/>
              </w:rPr>
              <w:t>,</w:t>
            </w:r>
            <w:r w:rsidRPr="0070774F">
              <w:rPr>
                <w:rFonts w:ascii="Arial" w:hAnsi="Arial" w:cs="Arial"/>
                <w:sz w:val="16"/>
                <w:szCs w:val="16"/>
                <w:lang w:val="bg-BG"/>
              </w:rPr>
              <w:t>825)</w:t>
            </w:r>
          </w:p>
        </w:tc>
        <w:tc>
          <w:tcPr>
            <w:tcW w:w="0" w:type="auto"/>
            <w:gridSpan w:val="2"/>
            <w:tcBorders>
              <w:top w:val="single" w:sz="4" w:space="0" w:color="000000"/>
              <w:left w:val="nil"/>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Тъй като CaO се класифицира като дразнещо кожата, дермалната експозиция трябва да се минимализира до технически оправданото. Не е получен DNEL за дермалните ефекти. Така че дермалната експозиция не се оценява в този сценарий на експозиция.</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774F" w:rsidRDefault="008D6E9B" w:rsidP="009D4C75">
            <w:pPr>
              <w:keepNext/>
              <w:spacing w:line="240" w:lineRule="auto"/>
              <w:jc w:val="both"/>
              <w:rPr>
                <w:rFonts w:ascii="Arial" w:hAnsi="Arial" w:cs="Arial"/>
                <w:b/>
                <w:bCs/>
                <w:color w:val="0000FF"/>
                <w:sz w:val="16"/>
                <w:szCs w:val="16"/>
                <w:lang w:val="bg-BG" w:eastAsia="de-DE"/>
              </w:rPr>
            </w:pPr>
            <w:r w:rsidRPr="0070774F">
              <w:rPr>
                <w:rFonts w:ascii="Arial" w:hAnsi="Arial" w:cs="Arial"/>
                <w:b/>
                <w:bCs/>
                <w:color w:val="0000FF"/>
                <w:sz w:val="16"/>
                <w:szCs w:val="16"/>
                <w:lang w:val="bg-BG"/>
              </w:rPr>
              <w:t>Експозицията за околната среда за целите на защита на селскостопанската почва</w:t>
            </w:r>
          </w:p>
        </w:tc>
      </w:tr>
      <w:tr w:rsidR="008D6E9B" w:rsidRPr="0070774F">
        <w:trPr>
          <w:cantSplit/>
          <w:trHeight w:val="301"/>
          <w:jc w:val="center"/>
        </w:trPr>
        <w:tc>
          <w:tcPr>
            <w:tcW w:w="0" w:type="auto"/>
            <w:gridSpan w:val="5"/>
            <w:tcBorders>
              <w:top w:val="nil"/>
              <w:left w:val="single" w:sz="8" w:space="0" w:color="auto"/>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Изчислението PEC за подпочвените и повърхностните води се основава на групата почви FOCUS (FOCUS, 1996) и на проекто-ръководството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(Kloskowksi et al.,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биоцидни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 веднъж приложено към почвата, CaO може действително да мигрира към повърхностните води, чрез дрейфа.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Вижте използваните количества</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защита на селскостопанската почва</w:t>
            </w:r>
          </w:p>
        </w:tc>
      </w:tr>
      <w:tr w:rsidR="008D6E9B" w:rsidRPr="00703017">
        <w:trPr>
          <w:trHeight w:val="252"/>
          <w:jc w:val="center"/>
        </w:trPr>
        <w:tc>
          <w:tcPr>
            <w:tcW w:w="0" w:type="auto"/>
            <w:vMerge w:val="restart"/>
            <w:tcBorders>
              <w:top w:val="single" w:sz="4" w:space="0" w:color="000000"/>
              <w:left w:val="single" w:sz="8" w:space="0" w:color="auto"/>
              <w:bottom w:val="single" w:sz="4" w:space="0" w:color="auto"/>
              <w:right w:val="single" w:sz="4" w:space="0" w:color="000000"/>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водно-пелагична камера</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(ug/L)</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(ug/L)</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D6E9B" w:rsidRPr="00703017">
        <w:trPr>
          <w:trHeight w:val="252"/>
          <w:jc w:val="center"/>
        </w:trPr>
        <w:tc>
          <w:tcPr>
            <w:tcW w:w="0" w:type="auto"/>
            <w:vMerge/>
            <w:tcBorders>
              <w:top w:val="single" w:sz="4" w:space="0" w:color="auto"/>
              <w:left w:val="single" w:sz="8" w:space="0" w:color="auto"/>
              <w:bottom w:val="single" w:sz="4" w:space="0" w:color="auto"/>
              <w:right w:val="single" w:sz="4" w:space="0" w:color="000000"/>
            </w:tcBorders>
            <w:vAlign w:val="center"/>
          </w:tcPr>
          <w:p w:rsidR="008D6E9B" w:rsidRPr="00703017" w:rsidRDefault="008D6E9B" w:rsidP="009D4C75">
            <w:pPr>
              <w:keepNext/>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CaO</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fr-BE" w:eastAsia="de-DE"/>
              </w:rPr>
            </w:pPr>
            <w:r w:rsidRPr="0070774F">
              <w:rPr>
                <w:rFonts w:ascii="Arial" w:hAnsi="Arial" w:cs="Arial"/>
                <w:sz w:val="16"/>
                <w:szCs w:val="16"/>
                <w:lang w:val="fr-BE"/>
              </w:rPr>
              <w:t>5,66</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fr-BE" w:eastAsia="de-DE"/>
              </w:rPr>
            </w:pPr>
            <w:r w:rsidRPr="0070774F">
              <w:rPr>
                <w:rFonts w:ascii="Arial" w:hAnsi="Arial" w:cs="Arial"/>
                <w:sz w:val="16"/>
                <w:szCs w:val="16"/>
                <w:lang w:val="fr-BE"/>
              </w:rPr>
              <w:t>370</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0</w:t>
            </w:r>
            <w:r w:rsidRPr="0070774F">
              <w:rPr>
                <w:rFonts w:ascii="Arial" w:hAnsi="Arial" w:cs="Arial"/>
                <w:sz w:val="16"/>
                <w:szCs w:val="16"/>
                <w:lang w:val="de-DE"/>
              </w:rPr>
              <w:t>,</w:t>
            </w:r>
            <w:r w:rsidRPr="0070774F">
              <w:rPr>
                <w:rFonts w:ascii="Arial" w:hAnsi="Arial" w:cs="Arial"/>
                <w:sz w:val="16"/>
                <w:szCs w:val="16"/>
                <w:lang w:val="bg-BG"/>
              </w:rPr>
              <w:t>015</w:t>
            </w:r>
          </w:p>
        </w:tc>
      </w:tr>
      <w:tr w:rsidR="008D6E9B" w:rsidRPr="0070774F">
        <w:trPr>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Както беше описано по-горе, не се очаква експозиция на повърхностните води, нито на седиментите. Нещо повече, в естествените води хидроксидните йони влизат в реакция с HCO3–, в резултат на която се получава вода и CO32-. CO32- поражда CaCO3 чрез реакция с Ca2+. Калциевият карбонат се утаява и се отлага като седимент. Калциевият карбонат е слабо разтворим и е съставна част на естествената почва.</w:t>
            </w:r>
          </w:p>
        </w:tc>
      </w:tr>
      <w:tr w:rsidR="008D6E9B" w:rsidRPr="00703017">
        <w:trPr>
          <w:cantSplit/>
          <w:trHeight w:val="66"/>
          <w:jc w:val="center"/>
        </w:trPr>
        <w:tc>
          <w:tcPr>
            <w:tcW w:w="0" w:type="auto"/>
            <w:vMerge w:val="restart"/>
            <w:tcBorders>
              <w:top w:val="single" w:sz="4" w:space="0" w:color="000000"/>
              <w:left w:val="single" w:sz="8" w:space="0" w:color="auto"/>
              <w:right w:val="single" w:sz="4" w:space="0" w:color="000000"/>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PEC (mg/L)</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PNEC (mg/L)</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RCR</w:t>
            </w:r>
          </w:p>
        </w:tc>
      </w:tr>
      <w:tr w:rsidR="008D6E9B" w:rsidRPr="00703017">
        <w:trPr>
          <w:cantSplit/>
          <w:trHeight w:val="266"/>
          <w:jc w:val="center"/>
        </w:trPr>
        <w:tc>
          <w:tcPr>
            <w:tcW w:w="0" w:type="auto"/>
            <w:vMerge/>
            <w:tcBorders>
              <w:top w:val="single" w:sz="4" w:space="0" w:color="auto"/>
              <w:left w:val="single" w:sz="8" w:space="0" w:color="auto"/>
              <w:right w:val="single" w:sz="4" w:space="0" w:color="000000"/>
            </w:tcBorders>
            <w:vAlign w:val="center"/>
          </w:tcPr>
          <w:p w:rsidR="008D6E9B" w:rsidRPr="00703017" w:rsidRDefault="008D6E9B" w:rsidP="009D4C75">
            <w:pPr>
              <w:keepNext/>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CaO</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fr-BE" w:eastAsia="de-DE"/>
              </w:rPr>
            </w:pPr>
            <w:r w:rsidRPr="0070774F">
              <w:rPr>
                <w:rFonts w:ascii="Arial" w:hAnsi="Arial" w:cs="Arial"/>
                <w:sz w:val="16"/>
                <w:szCs w:val="16"/>
                <w:lang w:val="fr-BE"/>
              </w:rPr>
              <w:t>500</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fr-BE" w:eastAsia="de-DE"/>
              </w:rPr>
            </w:pPr>
            <w:r w:rsidRPr="0070774F">
              <w:rPr>
                <w:rFonts w:ascii="Arial" w:hAnsi="Arial" w:cs="Arial"/>
                <w:sz w:val="16"/>
                <w:szCs w:val="16"/>
                <w:lang w:val="fr-BE"/>
              </w:rPr>
              <w:t>816</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0</w:t>
            </w:r>
            <w:r w:rsidRPr="0070774F">
              <w:rPr>
                <w:rFonts w:ascii="Arial" w:hAnsi="Arial" w:cs="Arial"/>
                <w:sz w:val="16"/>
                <w:szCs w:val="16"/>
                <w:lang w:val="de-DE"/>
              </w:rPr>
              <w:t>,</w:t>
            </w:r>
            <w:r w:rsidRPr="0070774F">
              <w:rPr>
                <w:rFonts w:ascii="Arial" w:hAnsi="Arial" w:cs="Arial"/>
                <w:sz w:val="16"/>
                <w:szCs w:val="16"/>
                <w:lang w:val="bg-BG"/>
              </w:rPr>
              <w:t>61</w:t>
            </w:r>
          </w:p>
        </w:tc>
      </w:tr>
      <w:tr w:rsidR="008D6E9B" w:rsidRPr="0070774F">
        <w:trPr>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Тази точка е ирелевантна. CaO не е летливо. Парното налягане е под 10</w:t>
            </w:r>
            <w:r w:rsidRPr="0070774F">
              <w:rPr>
                <w:rFonts w:ascii="Arial" w:hAnsi="Arial" w:cs="Arial"/>
                <w:sz w:val="16"/>
                <w:szCs w:val="16"/>
                <w:vertAlign w:val="superscript"/>
                <w:lang w:val="bg-BG"/>
              </w:rPr>
              <w:t>–5</w:t>
            </w:r>
            <w:r w:rsidRPr="0070774F">
              <w:rPr>
                <w:rFonts w:ascii="Arial" w:hAnsi="Arial" w:cs="Arial"/>
                <w:sz w:val="16"/>
                <w:szCs w:val="16"/>
                <w:lang w:val="bg-BG"/>
              </w:rPr>
              <w:t xml:space="preserve"> Pa.</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 понеже калцият може да се приеме за присъстващ навсякъде и основен елемент на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Експозицията за околната среда – третиране на почвата в гражданското строителство</w:t>
            </w:r>
          </w:p>
        </w:tc>
      </w:tr>
      <w:tr w:rsidR="008D6E9B" w:rsidRPr="0070774F">
        <w:trPr>
          <w:cantSplit/>
          <w:trHeight w:val="301"/>
          <w:jc w:val="center"/>
        </w:trPr>
        <w:tc>
          <w:tcPr>
            <w:tcW w:w="0" w:type="auto"/>
            <w:gridSpan w:val="5"/>
            <w:tcBorders>
              <w:top w:val="nil"/>
              <w:left w:val="single" w:sz="8" w:space="0" w:color="auto"/>
              <w:bottom w:val="single" w:sz="4"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Сценарият за третиране на почвата в гражданското строителство се основава на сценария за границата на пътя. На специална техническа среща за границата на пътя (Испра, 5 септември 2003 г.), Страните-членки на ЕС и представителите на бранша приеха дефиниция за </w:t>
            </w:r>
            <w:r>
              <w:rPr>
                <w:rFonts w:ascii="Arial" w:hAnsi="Arial" w:cs="Arial"/>
                <w:sz w:val="16"/>
                <w:szCs w:val="16"/>
                <w:lang w:val="bg-BG"/>
              </w:rPr>
              <w:t>„</w:t>
            </w:r>
            <w:r w:rsidRPr="00703017">
              <w:rPr>
                <w:rFonts w:ascii="Arial" w:hAnsi="Arial" w:cs="Arial"/>
                <w:sz w:val="16"/>
                <w:szCs w:val="16"/>
                <w:lang w:val="bg-BG"/>
              </w:rPr>
              <w:t>техносферата на пътя</w:t>
            </w:r>
            <w:r w:rsidRPr="00B94FEE">
              <w:rPr>
                <w:rFonts w:ascii="Arial" w:hAnsi="Arial" w:cs="Arial"/>
                <w:sz w:val="16"/>
                <w:szCs w:val="16"/>
                <w:lang w:val="bg-BG"/>
              </w:rPr>
              <w:t>“</w:t>
            </w:r>
            <w:r w:rsidRPr="00703017">
              <w:rPr>
                <w:rFonts w:ascii="Arial" w:hAnsi="Arial" w:cs="Arial"/>
                <w:sz w:val="16"/>
                <w:szCs w:val="16"/>
                <w:lang w:val="bg-BG"/>
              </w:rPr>
              <w:t xml:space="preserve">. Техносферата на пътя може да се определи като </w:t>
            </w:r>
            <w:r>
              <w:rPr>
                <w:rFonts w:ascii="Arial" w:hAnsi="Arial" w:cs="Arial"/>
                <w:sz w:val="16"/>
                <w:szCs w:val="16"/>
                <w:lang w:val="bg-BG"/>
              </w:rPr>
              <w:t>„</w:t>
            </w:r>
            <w:r w:rsidRPr="00703017">
              <w:rPr>
                <w:rFonts w:ascii="Arial" w:hAnsi="Arial" w:cs="Arial"/>
                <w:sz w:val="16"/>
                <w:szCs w:val="16"/>
                <w:lang w:val="bg-BG"/>
              </w:rPr>
              <w:t>инженерната среда, която изпълнява геотехническите функции на пътя във връзка с неговата конструкция, експлоатация и поддръжка, вкл. инсталациите за осигуряване на неговата безопасност и управление на оттичащите се води. Тази техно сфера, която включва твърдия и мекия банкет на пътя, вертикално се определя от водоносния хоризонт. Пътните власти носят отговорността за тази пътна техносфера, в т.ч. и за пътната безопасност, укрепването на пътя, предотвратяване на замърсяването и управление на водите</w:t>
            </w:r>
            <w:r>
              <w:rPr>
                <w:rFonts w:ascii="Arial" w:hAnsi="Arial" w:cs="Arial"/>
                <w:sz w:val="16"/>
                <w:szCs w:val="16"/>
                <w:lang w:val="bg-BG"/>
              </w:rPr>
              <w:t>“</w:t>
            </w:r>
            <w:r w:rsidRPr="00703017">
              <w:rPr>
                <w:rFonts w:ascii="Arial" w:hAnsi="Arial" w:cs="Arial"/>
                <w:sz w:val="16"/>
                <w:szCs w:val="16"/>
                <w:lang w:val="bg-BG"/>
              </w:rPr>
              <w:t>. Следователно пътната техносфера е изключена от крайната оценка на риска за целите на съществуващите/новите разпоредби за веществата. Таргет зоната е зоната извън техносферата, за която се отнася оценката на риска за околната среда.</w:t>
            </w:r>
          </w:p>
          <w:p w:rsidR="008D6E9B" w:rsidRPr="00703017" w:rsidRDefault="008D6E9B" w:rsidP="009D4C75">
            <w:pPr>
              <w:spacing w:line="240" w:lineRule="auto"/>
              <w:rPr>
                <w:rFonts w:ascii="Arial" w:hAnsi="Arial" w:cs="Arial"/>
                <w:sz w:val="16"/>
                <w:szCs w:val="16"/>
                <w:lang w:val="bg-BG" w:eastAsia="de-DE"/>
              </w:rPr>
            </w:pPr>
          </w:p>
          <w:p w:rsidR="008D6E9B" w:rsidRPr="00703017" w:rsidRDefault="008D6E9B" w:rsidP="00BC5EEB">
            <w:pPr>
              <w:tabs>
                <w:tab w:val="left" w:pos="7800"/>
              </w:tabs>
              <w:spacing w:line="240" w:lineRule="auto"/>
              <w:rPr>
                <w:rFonts w:ascii="Arial" w:hAnsi="Arial" w:cs="Arial"/>
                <w:sz w:val="16"/>
                <w:szCs w:val="16"/>
                <w:lang w:val="bg-BG" w:eastAsia="de-DE"/>
              </w:rPr>
            </w:pPr>
            <w:r w:rsidRPr="00703017">
              <w:rPr>
                <w:rFonts w:ascii="Arial" w:hAnsi="Arial" w:cs="Arial"/>
                <w:sz w:val="16"/>
                <w:szCs w:val="16"/>
                <w:lang w:val="bg-BG"/>
              </w:rPr>
              <w:t>Изчислението PEC за почвите се основава на групата почви FOCUS (FOCUS, 1996) и на проекто-ръководството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(Kloskowksi et al.,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биоцидни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w:t>
            </w:r>
          </w:p>
        </w:tc>
      </w:tr>
      <w:tr w:rsidR="008D6E9B" w:rsidRPr="00703017">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Вижте използваните количества</w:t>
            </w:r>
          </w:p>
        </w:tc>
      </w:tr>
      <w:tr w:rsidR="008D6E9B" w:rsidRPr="0070774F">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D6E9B" w:rsidRPr="0070774F">
        <w:trPr>
          <w:cantSplit/>
          <w:trHeight w:val="681"/>
          <w:jc w:val="center"/>
        </w:trPr>
        <w:tc>
          <w:tcPr>
            <w:tcW w:w="0" w:type="auto"/>
            <w:tcBorders>
              <w:top w:val="single" w:sz="4" w:space="0" w:color="000000"/>
              <w:left w:val="single" w:sz="8" w:space="0" w:color="auto"/>
              <w:bottom w:val="single" w:sz="4" w:space="0" w:color="auto"/>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водно-пелагична камера</w:t>
            </w:r>
          </w:p>
        </w:tc>
        <w:tc>
          <w:tcPr>
            <w:tcW w:w="0" w:type="auto"/>
            <w:gridSpan w:val="4"/>
            <w:tcBorders>
              <w:top w:val="single" w:sz="4" w:space="0" w:color="000000"/>
              <w:left w:val="nil"/>
              <w:right w:val="single" w:sz="8" w:space="0" w:color="000000"/>
            </w:tcBorders>
            <w:vAlign w:val="center"/>
          </w:tcPr>
          <w:p w:rsidR="008D6E9B" w:rsidRPr="00703017" w:rsidRDefault="008D6E9B" w:rsidP="009D4C75">
            <w:pPr>
              <w:spacing w:line="240" w:lineRule="auto"/>
              <w:jc w:val="both"/>
              <w:rPr>
                <w:rFonts w:ascii="Arial" w:hAnsi="Arial" w:cs="Arial"/>
                <w:b/>
                <w:bCs/>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D6E9B" w:rsidRPr="0070774F">
        <w:trPr>
          <w:cantSplit/>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D6E9B" w:rsidRPr="00703017">
        <w:trPr>
          <w:cantSplit/>
          <w:trHeight w:val="286"/>
          <w:jc w:val="center"/>
        </w:trPr>
        <w:tc>
          <w:tcPr>
            <w:tcW w:w="0" w:type="auto"/>
            <w:vMerge w:val="restart"/>
            <w:tcBorders>
              <w:top w:val="single" w:sz="4" w:space="0" w:color="000000"/>
              <w:left w:val="single" w:sz="8" w:space="0" w:color="auto"/>
              <w:bottom w:val="single" w:sz="4" w:space="0" w:color="auto"/>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(mg/L)</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(mg/L)</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D6E9B" w:rsidRPr="00703017">
        <w:trPr>
          <w:cantSplit/>
          <w:trHeight w:val="266"/>
          <w:jc w:val="center"/>
        </w:trPr>
        <w:tc>
          <w:tcPr>
            <w:tcW w:w="0" w:type="auto"/>
            <w:vMerge/>
            <w:tcBorders>
              <w:top w:val="single" w:sz="4" w:space="0" w:color="auto"/>
              <w:left w:val="single" w:sz="8" w:space="0" w:color="auto"/>
              <w:bottom w:val="single" w:sz="4" w:space="0" w:color="auto"/>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CaO</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fr-BE" w:eastAsia="de-DE"/>
              </w:rPr>
            </w:pPr>
            <w:r w:rsidRPr="0070774F">
              <w:rPr>
                <w:rFonts w:ascii="Arial" w:hAnsi="Arial" w:cs="Arial"/>
                <w:sz w:val="16"/>
                <w:szCs w:val="16"/>
                <w:lang w:val="fr-BE"/>
              </w:rPr>
              <w:t>529</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fr-BE" w:eastAsia="de-DE"/>
              </w:rPr>
            </w:pPr>
            <w:r w:rsidRPr="0070774F">
              <w:rPr>
                <w:rFonts w:ascii="Arial" w:hAnsi="Arial" w:cs="Arial"/>
                <w:sz w:val="16"/>
                <w:szCs w:val="16"/>
                <w:lang w:val="fr-BE"/>
              </w:rPr>
              <w:t>816</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0</w:t>
            </w:r>
            <w:r w:rsidRPr="0070774F">
              <w:rPr>
                <w:rFonts w:ascii="Arial" w:hAnsi="Arial" w:cs="Arial"/>
                <w:sz w:val="16"/>
                <w:szCs w:val="16"/>
                <w:lang w:val="de-DE"/>
              </w:rPr>
              <w:t>,</w:t>
            </w:r>
            <w:r w:rsidRPr="0070774F">
              <w:rPr>
                <w:rFonts w:ascii="Arial" w:hAnsi="Arial" w:cs="Arial"/>
                <w:sz w:val="16"/>
                <w:szCs w:val="16"/>
                <w:lang w:val="bg-BG"/>
              </w:rPr>
              <w:t>65</w:t>
            </w:r>
          </w:p>
        </w:tc>
      </w:tr>
      <w:tr w:rsidR="008D6E9B" w:rsidRPr="0070774F">
        <w:trPr>
          <w:cantSplit/>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4"/>
            <w:tcBorders>
              <w:top w:val="single" w:sz="4" w:space="0" w:color="auto"/>
              <w:left w:val="nil"/>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Тази точка е ирелевантна. CaO не е летливо. Парното налягане е под 10</w:t>
            </w:r>
            <w:r w:rsidRPr="0070774F">
              <w:rPr>
                <w:rFonts w:ascii="Arial" w:hAnsi="Arial" w:cs="Arial"/>
                <w:sz w:val="16"/>
                <w:szCs w:val="16"/>
                <w:vertAlign w:val="superscript"/>
                <w:lang w:val="bg-BG"/>
              </w:rPr>
              <w:t>–5</w:t>
            </w:r>
            <w:r w:rsidRPr="0070774F">
              <w:rPr>
                <w:rFonts w:ascii="Arial" w:hAnsi="Arial" w:cs="Arial"/>
                <w:sz w:val="16"/>
                <w:szCs w:val="16"/>
                <w:lang w:val="bg-BG"/>
              </w:rPr>
              <w:t xml:space="preserve"> Pa.</w:t>
            </w:r>
          </w:p>
        </w:tc>
      </w:tr>
      <w:tr w:rsidR="008D6E9B" w:rsidRPr="0070774F">
        <w:trPr>
          <w:cantSplit/>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 понеже калцият може да се приеме за присъстващ навсякъде и основен елемент на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 при други начини на употреба</w:t>
            </w:r>
          </w:p>
        </w:tc>
      </w:tr>
      <w:tr w:rsidR="008D6E9B" w:rsidRPr="0070774F">
        <w:trPr>
          <w:cantSplit/>
          <w:trHeight w:val="301"/>
          <w:jc w:val="center"/>
        </w:trPr>
        <w:tc>
          <w:tcPr>
            <w:tcW w:w="0" w:type="auto"/>
            <w:gridSpan w:val="5"/>
            <w:tcBorders>
              <w:top w:val="nil"/>
              <w:left w:val="single" w:sz="8" w:space="0" w:color="auto"/>
              <w:bottom w:val="single" w:sz="4"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За всички други начини на употреба не се извършва количествена оценка на експозицията за околната среда, понеже</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Работни условия и мерките за управление на риска не са толкова строги, както при защита на селскостопанската почва или третирането на почвата при гражданското строителство</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Варта е ингредиент и химически е свързана в матрица. Отделянията са незначителни и недостатъчни да предизвикат промяна на pH в почвата, отходните и повърхностните води</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Варта се използва специално за отделяне на свободен от CO2 въздух за дишане, при реакция с CO2. Този начин на употреба се отнася само до въздушния компонент на околната среда, където се използват характеристиките на варта </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Неутрализацията/промяната на pH е целта на процеса и не се наблюдават допълнителни, нежелателни въздействия. </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 xml:space="preserve">4. Ръководство за </w:t>
            </w:r>
            <w:r>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D6E9B" w:rsidRPr="0070774F">
        <w:trPr>
          <w:cantSplit/>
          <w:trHeight w:val="1310"/>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дермалната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скалиращ инструмент, като MEASE (</w:t>
            </w:r>
            <w:hyperlink r:id="rId30"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глосара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w:t>
            </w:r>
            <w:r>
              <w:rPr>
                <w:rFonts w:ascii="Arial" w:hAnsi="Arial" w:cs="Arial"/>
                <w:sz w:val="16"/>
                <w:szCs w:val="16"/>
                <w:lang w:val="bg-BG"/>
              </w:rPr>
              <w:t>а със запрашеност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D6E9B" w:rsidRPr="00703017" w:rsidRDefault="008D6E9B" w:rsidP="009D4C75">
            <w:pPr>
              <w:spacing w:before="60" w:after="60" w:line="240" w:lineRule="auto"/>
              <w:rPr>
                <w:rFonts w:ascii="Arial" w:hAnsi="Arial" w:cs="Arial"/>
                <w:sz w:val="20"/>
                <w:szCs w:val="20"/>
                <w:lang w:val="bg-BG" w:eastAsia="de-DE"/>
              </w:rPr>
            </w:pPr>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r w:rsidRPr="00703017">
              <w:rPr>
                <w:rFonts w:ascii="Arial" w:hAnsi="Arial" w:cs="Arial"/>
                <w:sz w:val="20"/>
                <w:szCs w:val="20"/>
                <w:lang w:val="bg-BG"/>
              </w:rPr>
              <w:t>:</w:t>
            </w:r>
            <w:r w:rsidRPr="00703017">
              <w:rPr>
                <w:rFonts w:ascii="Arial" w:hAnsi="Arial" w:cs="Arial"/>
                <w:sz w:val="20"/>
                <w:szCs w:val="20"/>
                <w:lang w:val="bg-BG"/>
              </w:rPr>
              <w:tab/>
              <w:t>1 mg/m³ (като вдишван прах)</w:t>
            </w:r>
          </w:p>
          <w:p w:rsidR="008D6E9B" w:rsidRPr="00703017" w:rsidRDefault="008D6E9B" w:rsidP="009D4C75">
            <w:pPr>
              <w:tabs>
                <w:tab w:val="left" w:pos="1701"/>
              </w:tabs>
              <w:spacing w:before="60" w:after="60" w:line="240" w:lineRule="auto"/>
              <w:rPr>
                <w:rFonts w:ascii="Arial" w:hAnsi="Arial" w:cs="Arial"/>
                <w:sz w:val="20"/>
                <w:szCs w:val="20"/>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mg/m³.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bl>
    <w:p w:rsidR="008D6E9B" w:rsidRPr="00703017" w:rsidRDefault="008D6E9B" w:rsidP="001F68EB">
      <w:pPr>
        <w:rPr>
          <w:lang w:val="bg-BG"/>
        </w:rPr>
      </w:pPr>
    </w:p>
    <w:p w:rsidR="008D6E9B" w:rsidRPr="00703017" w:rsidRDefault="008D6E9B" w:rsidP="001F68EB">
      <w:pPr>
        <w:rPr>
          <w:lang w:val="bg-BG"/>
        </w:rPr>
      </w:pPr>
    </w:p>
    <w:p w:rsidR="008D6E9B" w:rsidRPr="00703017" w:rsidRDefault="008D6E9B" w:rsidP="000F00A4">
      <w:pPr>
        <w:keepNext/>
        <w:spacing w:before="120" w:after="60" w:line="240" w:lineRule="auto"/>
        <w:rPr>
          <w:rFonts w:ascii="Arial" w:hAnsi="Arial" w:cs="Arial"/>
          <w:b/>
          <w:bCs/>
          <w:sz w:val="20"/>
          <w:szCs w:val="20"/>
          <w:lang w:val="bg-BG"/>
        </w:rPr>
        <w:sectPr w:rsidR="008D6E9B" w:rsidRPr="00703017" w:rsidSect="006A0CE4">
          <w:headerReference w:type="default" r:id="rId31"/>
          <w:footerReference w:type="default" r:id="rId32"/>
          <w:pgSz w:w="11906" w:h="16838"/>
          <w:pgMar w:top="1417" w:right="1417" w:bottom="1134" w:left="1417" w:header="708" w:footer="708" w:gutter="0"/>
          <w:cols w:space="708"/>
          <w:docGrid w:linePitch="360"/>
        </w:sectPr>
      </w:pPr>
    </w:p>
    <w:p w:rsidR="008D6E9B" w:rsidRPr="00703017" w:rsidRDefault="008D6E9B" w:rsidP="004B205A">
      <w:pPr>
        <w:keepNext/>
        <w:pageBreakBefore/>
        <w:tabs>
          <w:tab w:val="left" w:pos="1418"/>
        </w:tabs>
        <w:spacing w:before="240" w:after="60"/>
        <w:outlineLvl w:val="1"/>
        <w:rPr>
          <w:rFonts w:ascii="Arial" w:hAnsi="Arial" w:cs="Arial"/>
          <w:b/>
          <w:bCs/>
          <w:sz w:val="28"/>
          <w:szCs w:val="28"/>
          <w:lang w:val="bg-BG"/>
        </w:rPr>
      </w:pPr>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9: Професионална употреба на високо запрашени твърди/прахообразни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p>
    <w:tbl>
      <w:tblPr>
        <w:tblW w:w="0" w:type="auto"/>
        <w:jc w:val="center"/>
        <w:tblCellMar>
          <w:left w:w="70" w:type="dxa"/>
          <w:right w:w="70" w:type="dxa"/>
        </w:tblCellMar>
        <w:tblLook w:val="00A0" w:firstRow="1" w:lastRow="0" w:firstColumn="1" w:lastColumn="0" w:noHBand="0" w:noVBand="0"/>
      </w:tblPr>
      <w:tblGrid>
        <w:gridCol w:w="1590"/>
        <w:gridCol w:w="2566"/>
        <w:gridCol w:w="1467"/>
        <w:gridCol w:w="1628"/>
        <w:gridCol w:w="1801"/>
      </w:tblGrid>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D6E9B" w:rsidRPr="0070774F">
        <w:trPr>
          <w:trHeight w:val="315"/>
          <w:jc w:val="center"/>
        </w:trPr>
        <w:tc>
          <w:tcPr>
            <w:tcW w:w="0" w:type="auto"/>
            <w:tcBorders>
              <w:top w:val="nil"/>
              <w:left w:val="single" w:sz="8" w:space="0" w:color="auto"/>
              <w:bottom w:val="single" w:sz="4" w:space="0" w:color="auto"/>
              <w:right w:val="single" w:sz="4"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4"/>
            <w:tcBorders>
              <w:top w:val="single" w:sz="8" w:space="0" w:color="auto"/>
              <w:left w:val="single" w:sz="4" w:space="0" w:color="auto"/>
              <w:bottom w:val="single" w:sz="4" w:space="0" w:color="auto"/>
              <w:right w:val="single" w:sz="8"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Професионална употреба на високо прашни твърди/прахообразни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D6E9B" w:rsidRPr="0070774F">
        <w:trPr>
          <w:trHeight w:val="1349"/>
          <w:jc w:val="center"/>
        </w:trPr>
        <w:tc>
          <w:tcPr>
            <w:tcW w:w="0" w:type="auto"/>
            <w:tcBorders>
              <w:top w:val="single" w:sz="4" w:space="0" w:color="auto"/>
              <w:left w:val="single" w:sz="8" w:space="0" w:color="auto"/>
              <w:bottom w:val="single" w:sz="4" w:space="0" w:color="auto"/>
              <w:right w:val="single" w:sz="4"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SU22, SU1, SU5, SU6a, SU6b, SU7, SU10, SU11, SU12, SU13, SU16, SU17, SU18, SU19, SU20, SU23, SU24</w:t>
            </w:r>
            <w:r w:rsidRPr="00703017">
              <w:rPr>
                <w:lang w:val="bg-BG"/>
              </w:rPr>
              <w:br/>
            </w:r>
            <w:r w:rsidRPr="00703017">
              <w:rPr>
                <w:rFonts w:ascii="Arial" w:hAnsi="Arial" w:cs="Arial"/>
                <w:sz w:val="16"/>
                <w:szCs w:val="16"/>
                <w:lang w:val="bg-BG"/>
              </w:rPr>
              <w:t>PC1, PC2, PC3, PC7, PC8, PC9a, PC9b, PC11, PC12, PC13, PC14, PC15, PC16, PC17, PC18, PC19, PC20, PC21, PC23, PC24, PC25, PC26, PC27, PC28, PC29, PC30, PC31, PC32, PC33, PC34, PC35, PC36, PC37, PC39, PC40</w:t>
            </w:r>
            <w:r w:rsidRPr="00703017">
              <w:rPr>
                <w:lang w:val="bg-BG"/>
              </w:rPr>
              <w:br/>
            </w:r>
            <w:r w:rsidRPr="00703017">
              <w:rPr>
                <w:rFonts w:ascii="Arial" w:hAnsi="Arial" w:cs="Arial"/>
                <w:sz w:val="16"/>
                <w:szCs w:val="16"/>
                <w:lang w:val="bg-BG"/>
              </w:rPr>
              <w:t>AC1, AC2, AC3, AC4, AC5, AC6, AC7, AC8, AC10, AC11, AC13</w:t>
            </w:r>
          </w:p>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D6E9B" w:rsidRPr="0070774F">
        <w:trPr>
          <w:trHeight w:val="525"/>
          <w:jc w:val="center"/>
        </w:trPr>
        <w:tc>
          <w:tcPr>
            <w:tcW w:w="0" w:type="auto"/>
            <w:tcBorders>
              <w:top w:val="single" w:sz="4" w:space="0" w:color="auto"/>
              <w:left w:val="single" w:sz="8" w:space="0" w:color="auto"/>
              <w:bottom w:val="single" w:sz="4" w:space="0" w:color="auto"/>
              <w:right w:val="single" w:sz="4"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D6E9B" w:rsidRPr="00703017">
        <w:trPr>
          <w:trHeight w:val="444"/>
          <w:jc w:val="center"/>
        </w:trPr>
        <w:tc>
          <w:tcPr>
            <w:tcW w:w="0" w:type="auto"/>
            <w:tcBorders>
              <w:top w:val="single" w:sz="4" w:space="0" w:color="auto"/>
              <w:left w:val="single" w:sz="8" w:space="0" w:color="auto"/>
              <w:bottom w:val="single" w:sz="8" w:space="0" w:color="auto"/>
              <w:right w:val="single" w:sz="4" w:space="0" w:color="auto"/>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4"/>
            <w:tcBorders>
              <w:top w:val="single" w:sz="4" w:space="0" w:color="auto"/>
              <w:left w:val="single" w:sz="4" w:space="0" w:color="auto"/>
              <w:bottom w:val="single" w:sz="8" w:space="0" w:color="auto"/>
              <w:right w:val="single" w:sz="8"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 Оценката за околната среда се основава на FOCUS-Exposit.</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D6E9B" w:rsidRPr="00703017">
        <w:trPr>
          <w:trHeight w:val="315"/>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PROC/ERC</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0" w:type="auto"/>
            <w:gridSpan w:val="2"/>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непрекъснат процес със случайно контролирана експозиция</w:t>
            </w:r>
          </w:p>
        </w:tc>
        <w:tc>
          <w:tcPr>
            <w:tcW w:w="0" w:type="auto"/>
            <w:gridSpan w:val="2"/>
            <w:vMerge w:val="restart"/>
            <w:tcBorders>
              <w:top w:val="single" w:sz="4" w:space="0" w:color="000000"/>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Повече информация е представена в Ръководството ECHA за информационните изисквания и оценка на безопасността на химичните вещаства, Глава R.12: Дескрипторна система на употребите (ECHA-2010-G-05-EN).</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3</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периодичен процес (синтез или формулиране)</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периодичен или друг процес (синтез), където се появява възможност за експозиция</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5</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Смесване или блендиране в периодичен процес за формулиране на препарати и изделия (многостепенен и/или значителен контакт)</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8a</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общи съоръжения</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8b</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специални съоръжения</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9</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в малки контейнери (специална линия за пълнене, включително претегляне)</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10</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Нанасяне с валяк или с четка</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11</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Пулверизиране извън промишлена среда</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13</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Третиране на изделия при боядисване чрез потапяне и изливане</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15</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лабораторни реагенти</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16</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материал като горивен източник, очаква се ограничена експозиция към неизгорял продукт</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Смазване при високо енергийни условия и в частично открит процес</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18</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Гресиране при високо енергийни условия</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Ръчно смесване с близък контакт и налични само ЛПС</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Други горещи работни операции с метали</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nil"/>
              <w:left w:val="single" w:sz="8" w:space="0" w:color="auto"/>
              <w:bottom w:val="single" w:sz="8"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26</w:t>
            </w:r>
          </w:p>
        </w:tc>
        <w:tc>
          <w:tcPr>
            <w:tcW w:w="0" w:type="auto"/>
            <w:gridSpan w:val="2"/>
            <w:tcBorders>
              <w:top w:val="single" w:sz="4" w:space="0" w:color="000000"/>
              <w:left w:val="nil"/>
              <w:bottom w:val="single" w:sz="8"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Обработка на твърди неорганични вещества при нормална температура на околната среда</w:t>
            </w:r>
          </w:p>
        </w:tc>
        <w:tc>
          <w:tcPr>
            <w:tcW w:w="0" w:type="auto"/>
            <w:gridSpan w:val="2"/>
            <w:vMerge/>
            <w:tcBorders>
              <w:left w:val="nil"/>
              <w:bottom w:val="single" w:sz="8"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single" w:sz="8" w:space="0" w:color="000000"/>
              <w:left w:val="single" w:sz="8" w:space="0" w:color="auto"/>
              <w:bottom w:val="single" w:sz="8" w:space="0" w:color="auto"/>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 xml:space="preserve">ERC2, ERC8a, ERC8b, ERC8c, </w:t>
            </w:r>
            <w:r w:rsidRPr="00703017">
              <w:rPr>
                <w:rFonts w:ascii="Arial" w:hAnsi="Arial" w:cs="Arial"/>
                <w:b/>
                <w:bCs/>
                <w:sz w:val="16"/>
                <w:szCs w:val="16"/>
                <w:lang w:val="bg-BG"/>
              </w:rPr>
              <w:lastRenderedPageBreak/>
              <w:t>ERC8d, ERC8e, ERC8f</w:t>
            </w:r>
          </w:p>
        </w:tc>
        <w:tc>
          <w:tcPr>
            <w:tcW w:w="0" w:type="auto"/>
            <w:gridSpan w:val="2"/>
            <w:tcBorders>
              <w:top w:val="single" w:sz="8" w:space="0" w:color="000000"/>
              <w:left w:val="nil"/>
              <w:bottom w:val="single" w:sz="8" w:space="0" w:color="auto"/>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lastRenderedPageBreak/>
              <w:t>Широко дисперсивна употреба на открито и закрито на реактивни вещества или подобрители на процеса в отворени системи</w:t>
            </w:r>
          </w:p>
        </w:tc>
        <w:tc>
          <w:tcPr>
            <w:tcW w:w="0" w:type="auto"/>
            <w:gridSpan w:val="2"/>
            <w:vMerge/>
            <w:tcBorders>
              <w:top w:val="single" w:sz="8" w:space="0" w:color="000000"/>
              <w:left w:val="nil"/>
              <w:bottom w:val="single" w:sz="8" w:space="0" w:color="auto"/>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2.1 Контрол на експозицията на работниците</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trHeight w:val="84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абразивност се взема предвид нивото й, вместо вътрешно присъщия емисионен потенциал на веществото.</w:t>
            </w:r>
          </w:p>
        </w:tc>
      </w:tr>
      <w:tr w:rsidR="008D6E9B" w:rsidRPr="00703017">
        <w:trPr>
          <w:trHeight w:val="301"/>
          <w:jc w:val="center"/>
        </w:trPr>
        <w:tc>
          <w:tcPr>
            <w:tcW w:w="0" w:type="auto"/>
            <w:tcBorders>
              <w:top w:val="nil"/>
              <w:left w:val="single" w:sz="8" w:space="0" w:color="auto"/>
              <w:bottom w:val="single" w:sz="4" w:space="0" w:color="000000"/>
              <w:right w:val="single" w:sz="4" w:space="0" w:color="auto"/>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приложими PROC</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774F">
        <w:trPr>
          <w:trHeight w:val="673"/>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D6E9B" w:rsidRPr="00703017" w:rsidRDefault="008D6E9B"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детерминант на вътрешно присъщия на процеса емисионен потенциал.</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 5, 8a, 8b, 9, 10, 16, 17, 18, 19, 26</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11</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60 минути</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D6E9B" w:rsidRPr="00703017">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D6E9B" w:rsidRPr="0070774F">
        <w:trPr>
          <w:trHeight w:val="315"/>
          <w:jc w:val="center"/>
        </w:trPr>
        <w:tc>
          <w:tcPr>
            <w:tcW w:w="0" w:type="auto"/>
            <w:gridSpan w:val="5"/>
            <w:tcBorders>
              <w:top w:val="single" w:sz="4"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Работни условия, като температура и налягане на процеса, се считат за ирелевантни при оценката на професионалната експозиция на извършваните процеси. На етапи на процеса с много висока температура (напр. PROC 22, 23, 25), оценката на експозицията в MEASE обаче се основава и на отношението между температурата на процеса и точката на разтапяне. Тъй като свързаните с процеса температури се различават значително в различните производства, най-високият процент се приема за най-лошия случай на презумпция за целите на оценката на експозицията. По такъв начин всички температури на процеса автоматично се покриват в този сценарий на експозиция за PROC 22, 23 и PROC 25.</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Измервания на ниво процес като елемент на управлението на риска (напр. задържане или сегрегиране на емисионния източник) по принцип не се изискват при процесите.</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Технически условия и мерки за контрол на дисперсията от източника към работника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tcBorders>
              <w:top w:val="nil"/>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tcBorders>
              <w:top w:val="nil"/>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D6E9B" w:rsidRPr="00703017">
        <w:trPr>
          <w:trHeight w:val="485"/>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 5, 8a, 8b, 9, 11, 16, 26</w:t>
            </w:r>
          </w:p>
        </w:tc>
        <w:tc>
          <w:tcPr>
            <w:tcW w:w="0" w:type="auto"/>
            <w:vMerge w:val="restart"/>
            <w:tcBorders>
              <w:top w:val="single" w:sz="4" w:space="0" w:color="000000"/>
              <w:left w:val="nil"/>
              <w:bottom w:val="single" w:sz="4" w:space="0" w:color="auto"/>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Всяко потенциално налагащо се откъсване на работниците от емисионния източник се включва по-горе под надслова </w:t>
            </w:r>
            <w:r>
              <w:rPr>
                <w:rFonts w:ascii="Arial" w:hAnsi="Arial" w:cs="Arial"/>
                <w:sz w:val="16"/>
                <w:szCs w:val="16"/>
                <w:lang w:val="bg-BG"/>
              </w:rPr>
              <w:t>„</w:t>
            </w:r>
            <w:r w:rsidRPr="00703017">
              <w:rPr>
                <w:rFonts w:ascii="Arial" w:hAnsi="Arial" w:cs="Arial"/>
                <w:sz w:val="16"/>
                <w:szCs w:val="16"/>
                <w:lang w:val="bg-BG"/>
              </w:rPr>
              <w:t>Честота и 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Намаляване на продължителността на експозицията може да се постигне, примерно, чрез инсталиране на вентилирани контролни стаи (позитивно налягане) или чрез извеждане на работника от работното място със съответната експозиция.</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обща локална вентилация на отработените газове</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72 %</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485"/>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17, 18</w:t>
            </w:r>
          </w:p>
        </w:tc>
        <w:tc>
          <w:tcPr>
            <w:tcW w:w="0" w:type="auto"/>
            <w:vMerge/>
            <w:tcBorders>
              <w:top w:val="single" w:sz="4" w:space="0" w:color="000000"/>
              <w:left w:val="nil"/>
              <w:bottom w:val="single" w:sz="4" w:space="0" w:color="auto"/>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интегрирана локална вентилация на отработените газове</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87 %</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774F">
        <w:trPr>
          <w:trHeight w:val="343"/>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vMerge/>
            <w:tcBorders>
              <w:left w:val="nil"/>
              <w:bottom w:val="single" w:sz="4" w:space="0" w:color="auto"/>
              <w:right w:val="single" w:sz="4" w:space="0" w:color="auto"/>
            </w:tcBorders>
            <w:vAlign w:val="center"/>
          </w:tcPr>
          <w:p w:rsidR="008D6E9B" w:rsidRPr="00703017" w:rsidRDefault="008D6E9B" w:rsidP="009D4C75">
            <w:pPr>
              <w:keepNext/>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неприложимо</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само в добре вентилирани помещения или на открито</w:t>
            </w:r>
            <w:r w:rsidRPr="00703017">
              <w:rPr>
                <w:lang w:val="bg-BG"/>
              </w:rPr>
              <w:br/>
            </w:r>
            <w:r w:rsidRPr="00703017">
              <w:rPr>
                <w:rFonts w:ascii="Arial" w:hAnsi="Arial" w:cs="Arial"/>
                <w:sz w:val="16"/>
                <w:szCs w:val="16"/>
                <w:lang w:val="bg-BG"/>
              </w:rPr>
              <w:t>(ефикасност 50 %)</w:t>
            </w:r>
          </w:p>
        </w:tc>
      </w:tr>
      <w:tr w:rsidR="008D6E9B" w:rsidRPr="00703017">
        <w:trPr>
          <w:trHeight w:val="198"/>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Merge/>
            <w:tcBorders>
              <w:left w:val="nil"/>
              <w:bottom w:val="single" w:sz="4" w:space="0" w:color="auto"/>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отделянията, дисперсията и експозицията</w:t>
            </w:r>
          </w:p>
        </w:tc>
      </w:tr>
      <w:tr w:rsidR="008D6E9B" w:rsidRPr="0070774F">
        <w:trPr>
          <w:trHeight w:val="882"/>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w:t>
            </w:r>
            <w:r>
              <w:rPr>
                <w:rFonts w:ascii="Arial" w:hAnsi="Arial" w:cs="Arial"/>
                <w:sz w:val="16"/>
                <w:szCs w:val="16"/>
                <w:lang w:val="bg-BG"/>
              </w:rPr>
              <w:t>яна. Не носете заразени дрехи в</w:t>
            </w:r>
            <w:r w:rsidRPr="00703017">
              <w:rPr>
                <w:rFonts w:ascii="Arial" w:hAnsi="Arial" w:cs="Arial"/>
                <w:sz w:val="16"/>
                <w:szCs w:val="16"/>
                <w:lang w:val="bg-BG"/>
              </w:rPr>
              <w:t>къщи. Не издухвайте праха с въздух под налягане.</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за лична защита, хигиена и оценка на здравето</w:t>
            </w:r>
          </w:p>
        </w:tc>
      </w:tr>
      <w:tr w:rsidR="008D6E9B" w:rsidRPr="0070774F">
        <w:trPr>
          <w:trHeight w:val="301"/>
          <w:jc w:val="center"/>
        </w:trPr>
        <w:tc>
          <w:tcPr>
            <w:tcW w:w="0" w:type="auto"/>
            <w:tcBorders>
              <w:top w:val="nil"/>
              <w:left w:val="single" w:sz="8" w:space="0" w:color="auto"/>
              <w:bottom w:val="single" w:sz="4" w:space="0" w:color="000000"/>
              <w:right w:val="single" w:sz="4" w:space="0" w:color="auto"/>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D6E9B" w:rsidRPr="0070774F">
        <w:trPr>
          <w:trHeight w:val="368"/>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9, 26</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vMerge w:val="restart"/>
            <w:tcBorders>
              <w:left w:val="nil"/>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w:t>
            </w:r>
            <w:r w:rsidRPr="0070774F">
              <w:rPr>
                <w:rFonts w:ascii="Arial" w:hAnsi="Arial" w:cs="Arial"/>
                <w:sz w:val="16"/>
                <w:szCs w:val="16"/>
                <w:lang w:val="bg-BG"/>
              </w:rPr>
              <w:t>като CaO</w:t>
            </w:r>
            <w:r w:rsidRPr="00703017">
              <w:rPr>
                <w:rFonts w:ascii="Arial" w:hAnsi="Arial" w:cs="Arial"/>
                <w:sz w:val="16"/>
                <w:szCs w:val="16"/>
                <w:lang w:val="bg-BG"/>
              </w:rPr>
              <w:t xml:space="preserve"> е класифицирано като дразнещо кожата, задължителна е употребата на защитни ръкавици на всички етапи на процеса.</w:t>
            </w:r>
          </w:p>
        </w:tc>
        <w:tc>
          <w:tcPr>
            <w:tcW w:w="0" w:type="auto"/>
            <w:vMerge w:val="restart"/>
            <w:tcBorders>
              <w:left w:val="single" w:sz="4" w:space="0" w:color="auto"/>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D6E9B" w:rsidRPr="00703017">
        <w:trPr>
          <w:trHeight w:val="368"/>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11, 17, 18, 19</w:t>
            </w:r>
          </w:p>
        </w:tc>
        <w:tc>
          <w:tcPr>
            <w:tcW w:w="0" w:type="auto"/>
            <w:tcBorders>
              <w:top w:val="single" w:sz="4" w:space="0" w:color="000000"/>
              <w:left w:val="nil"/>
              <w:bottom w:val="single" w:sz="4" w:space="0" w:color="000000"/>
              <w:right w:val="single" w:sz="4" w:space="0" w:color="auto"/>
            </w:tcBorders>
            <w:vAlign w:val="center"/>
          </w:tcPr>
          <w:p w:rsidR="008D6E9B" w:rsidRPr="00703017" w:rsidDel="00B06105"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FFP3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APF=20</w:t>
            </w:r>
          </w:p>
        </w:tc>
        <w:tc>
          <w:tcPr>
            <w:tcW w:w="0" w:type="auto"/>
            <w:vMerge/>
            <w:tcBorders>
              <w:left w:val="nil"/>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tcBorders>
              <w:left w:val="single" w:sz="4" w:space="0" w:color="auto"/>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3017">
        <w:trPr>
          <w:trHeight w:val="368"/>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FFP2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APF=10</w:t>
            </w:r>
          </w:p>
        </w:tc>
        <w:tc>
          <w:tcPr>
            <w:tcW w:w="0" w:type="auto"/>
            <w:vMerge/>
            <w:tcBorders>
              <w:left w:val="nil"/>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tcBorders>
              <w:left w:val="single" w:sz="4" w:space="0" w:color="auto"/>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3017">
        <w:trPr>
          <w:trHeight w:val="368"/>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FFP2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APF=10</w:t>
            </w:r>
          </w:p>
        </w:tc>
        <w:tc>
          <w:tcPr>
            <w:tcW w:w="0" w:type="auto"/>
            <w:vMerge/>
            <w:tcBorders>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tcBorders>
              <w:left w:val="single" w:sz="4" w:space="0" w:color="auto"/>
              <w:bottom w:val="single" w:sz="4" w:space="0" w:color="auto"/>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454"/>
          <w:jc w:val="center"/>
        </w:trPr>
        <w:tc>
          <w:tcPr>
            <w:tcW w:w="0" w:type="auto"/>
            <w:gridSpan w:val="5"/>
            <w:tcBorders>
              <w:top w:val="nil"/>
              <w:left w:val="single" w:sz="8" w:space="0" w:color="auto"/>
              <w:bottom w:val="single" w:sz="8" w:space="0" w:color="auto"/>
              <w:right w:val="single" w:sz="8" w:space="0" w:color="auto"/>
            </w:tcBorders>
            <w:vAlign w:val="center"/>
          </w:tcPr>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D6E9B" w:rsidRPr="00703017" w:rsidRDefault="008D6E9B"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Общ преглед на APF на различните RPE (съгласно BS EN 529:2005) може да се намери в глосара на MEASE.</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 xml:space="preserve">  – релевантно само за защита на селскостопанската почва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cantSplit/>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p>
          <w:p w:rsidR="008D6E9B" w:rsidRPr="00703017" w:rsidRDefault="008D6E9B" w:rsidP="009D4C75">
            <w:pPr>
              <w:spacing w:line="240" w:lineRule="auto"/>
              <w:jc w:val="both"/>
              <w:rPr>
                <w:rFonts w:ascii="Arial" w:hAnsi="Arial" w:cs="Arial"/>
                <w:sz w:val="16"/>
                <w:szCs w:val="16"/>
                <w:highlight w:val="yellow"/>
                <w:lang w:val="bg-BG" w:eastAsia="de-DE"/>
              </w:rPr>
            </w:pPr>
          </w:p>
          <w:p w:rsidR="008D6E9B" w:rsidRPr="00703017" w:rsidRDefault="001D5CEE" w:rsidP="00F86E80">
            <w:pPr>
              <w:spacing w:line="240" w:lineRule="auto"/>
              <w:ind w:left="2832"/>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476625" cy="2705100"/>
                  <wp:effectExtent l="0" t="0" r="9525" b="0"/>
                  <wp:docPr id="17"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625" cy="2705100"/>
                          </a:xfrm>
                          <a:prstGeom prst="rect">
                            <a:avLst/>
                          </a:prstGeom>
                          <a:noFill/>
                          <a:ln>
                            <a:noFill/>
                          </a:ln>
                        </pic:spPr>
                      </pic:pic>
                    </a:graphicData>
                  </a:graphic>
                </wp:inline>
              </w:drawing>
            </w:r>
          </w:p>
          <w:p w:rsidR="008D6E9B" w:rsidRPr="00703017" w:rsidRDefault="008D6E9B" w:rsidP="009D4C75">
            <w:pPr>
              <w:spacing w:line="240" w:lineRule="auto"/>
              <w:ind w:left="2880"/>
              <w:jc w:val="both"/>
              <w:rPr>
                <w:rFonts w:ascii="Arial" w:hAnsi="Arial" w:cs="Arial"/>
                <w:sz w:val="16"/>
                <w:szCs w:val="16"/>
                <w:highlight w:val="yellow"/>
                <w:lang w:val="bg-BG" w:eastAsia="de-DE"/>
              </w:rPr>
            </w:pPr>
            <w:r w:rsidRPr="00703017">
              <w:rPr>
                <w:rFonts w:ascii="Arial" w:hAnsi="Arial" w:cs="Arial"/>
                <w:sz w:val="16"/>
                <w:szCs w:val="16"/>
                <w:lang w:val="bg-BG"/>
              </w:rPr>
              <w:t>(Фигурата е взета от: Laudet, A. et al., 1999)</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3017">
        <w:trPr>
          <w:trHeight w:val="301"/>
          <w:jc w:val="center"/>
        </w:trPr>
        <w:tc>
          <w:tcPr>
            <w:tcW w:w="0" w:type="auto"/>
            <w:tcBorders>
              <w:top w:val="nil"/>
              <w:left w:val="single" w:sz="8" w:space="0" w:color="auto"/>
              <w:right w:val="single" w:sz="4" w:space="0" w:color="auto"/>
            </w:tcBorders>
            <w:vAlign w:val="center"/>
          </w:tcPr>
          <w:p w:rsidR="008D6E9B" w:rsidRPr="0070774F" w:rsidRDefault="008D6E9B" w:rsidP="00B71C2F">
            <w:pPr>
              <w:spacing w:line="240" w:lineRule="auto"/>
              <w:rPr>
                <w:rFonts w:ascii="Arial" w:hAnsi="Arial" w:cs="Arial"/>
                <w:sz w:val="16"/>
                <w:szCs w:val="16"/>
                <w:lang w:val="bg-BG" w:eastAsia="de-DE"/>
              </w:rPr>
            </w:pPr>
            <w:r w:rsidRPr="0070774F">
              <w:rPr>
                <w:rFonts w:ascii="Arial" w:hAnsi="Arial" w:cs="Arial"/>
                <w:sz w:val="16"/>
                <w:szCs w:val="16"/>
                <w:lang w:val="bg-BG"/>
              </w:rPr>
              <w:t>CaO</w:t>
            </w:r>
          </w:p>
        </w:tc>
        <w:tc>
          <w:tcPr>
            <w:tcW w:w="0" w:type="auto"/>
            <w:gridSpan w:val="4"/>
            <w:tcBorders>
              <w:top w:val="nil"/>
              <w:left w:val="nil"/>
              <w:bottom w:val="single" w:sz="4" w:space="0" w:color="auto"/>
              <w:right w:val="single" w:sz="8" w:space="0" w:color="auto"/>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fr-BE"/>
              </w:rPr>
              <w:t>1 700</w:t>
            </w:r>
            <w:r w:rsidRPr="0070774F">
              <w:rPr>
                <w:rFonts w:ascii="Arial" w:hAnsi="Arial" w:cs="Arial"/>
                <w:sz w:val="16"/>
                <w:szCs w:val="16"/>
                <w:lang w:val="bg-BG"/>
              </w:rPr>
              <w:t xml:space="preserve"> kg/ha</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774F" w:rsidRDefault="008D6E9B" w:rsidP="009D4C75">
            <w:pPr>
              <w:keepNext/>
              <w:spacing w:line="240" w:lineRule="auto"/>
              <w:jc w:val="both"/>
              <w:rPr>
                <w:rFonts w:ascii="Arial" w:hAnsi="Arial" w:cs="Arial"/>
                <w:b/>
                <w:bCs/>
                <w:color w:val="0000FF"/>
                <w:sz w:val="16"/>
                <w:szCs w:val="16"/>
                <w:lang w:val="bg-BG" w:eastAsia="de-DE"/>
              </w:rPr>
            </w:pPr>
            <w:r w:rsidRPr="0070774F">
              <w:rPr>
                <w:rFonts w:ascii="Arial" w:hAnsi="Arial" w:cs="Arial"/>
                <w:b/>
                <w:bCs/>
                <w:color w:val="0000FF"/>
                <w:sz w:val="16"/>
                <w:szCs w:val="16"/>
                <w:lang w:val="bg-BG"/>
              </w:rPr>
              <w:t>Честота и продължителност на употребата</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774F" w:rsidRDefault="008D6E9B" w:rsidP="00BE0AB7">
            <w:pPr>
              <w:spacing w:line="240" w:lineRule="auto"/>
              <w:jc w:val="both"/>
              <w:rPr>
                <w:rFonts w:ascii="Arial" w:hAnsi="Arial" w:cs="Arial"/>
                <w:sz w:val="16"/>
                <w:szCs w:val="16"/>
                <w:lang w:val="bg-BG" w:eastAsia="de-DE"/>
              </w:rPr>
            </w:pPr>
            <w:r w:rsidRPr="0070774F">
              <w:rPr>
                <w:rFonts w:ascii="Arial" w:hAnsi="Arial" w:cs="Arial"/>
                <w:sz w:val="16"/>
                <w:szCs w:val="16"/>
                <w:lang w:val="bg-BG"/>
              </w:rPr>
              <w:t>1 ден/година (едно прилагане за една година). Позволено е многократно прилагане през годината, при положение че общото годишно количество от 1 700 kg/ha не се надхвърля (CaO)</w:t>
            </w:r>
          </w:p>
          <w:p w:rsidR="008D6E9B" w:rsidRPr="0070774F" w:rsidRDefault="008D6E9B" w:rsidP="009D4C75">
            <w:pPr>
              <w:spacing w:line="240" w:lineRule="auto"/>
              <w:jc w:val="both"/>
              <w:rPr>
                <w:rFonts w:ascii="Arial" w:hAnsi="Arial" w:cs="Arial"/>
                <w:sz w:val="16"/>
                <w:szCs w:val="16"/>
                <w:lang w:val="bg-BG" w:eastAsia="de-DE"/>
              </w:rPr>
            </w:pP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CCCCC"/>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Обем на повърхностните води: 300 L/m² </w:t>
            </w:r>
          </w:p>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Площ на повърхността: 1 ha</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3017">
        <w:trPr>
          <w:trHeight w:val="352"/>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Няма директни отделяния в прилежащите повърхностни води.</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намаляване или ограничаване на отделянията, емисиите във въздуха и почвата</w:t>
            </w:r>
          </w:p>
        </w:tc>
      </w:tr>
      <w:tr w:rsidR="008D6E9B" w:rsidRPr="00703017">
        <w:trPr>
          <w:trHeight w:val="362"/>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отделянето от обекта</w:t>
            </w:r>
          </w:p>
        </w:tc>
      </w:tr>
      <w:tr w:rsidR="008D6E9B" w:rsidRPr="00703017">
        <w:trPr>
          <w:trHeight w:val="52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В съответствие с изискванията на добрата селскостопанска практика, селскостопанската почва следва да се анализира, преди прилагането на вар и степента на прилагане трябва да се съобрази с резултатите от анализа.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495CFE">
            <w:pPr>
              <w:keepNext/>
              <w:spacing w:line="240" w:lineRule="auto"/>
              <w:ind w:left="350" w:hanging="336"/>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2.2 Контрол на експозицията за околната среда – отнася се само до третиране на почвата в гражданското строителство</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cantSplit/>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highlight w:val="yellow"/>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r w:rsidRPr="00703017">
              <w:rPr>
                <w:rFonts w:ascii="Arial" w:hAnsi="Arial" w:cs="Arial"/>
                <w:sz w:val="16"/>
                <w:szCs w:val="16"/>
                <w:highlight w:val="yellow"/>
                <w:lang w:val="bg-BG"/>
              </w:rPr>
              <w:t xml:space="preserve"> </w:t>
            </w:r>
          </w:p>
          <w:p w:rsidR="008D6E9B" w:rsidRPr="00703017" w:rsidRDefault="001D5CEE" w:rsidP="00F86E80">
            <w:pPr>
              <w:spacing w:line="240" w:lineRule="auto"/>
              <w:ind w:left="2832"/>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476625" cy="2705100"/>
                  <wp:effectExtent l="0" t="0" r="9525" b="0"/>
                  <wp:docPr id="18"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625" cy="2705100"/>
                          </a:xfrm>
                          <a:prstGeom prst="rect">
                            <a:avLst/>
                          </a:prstGeom>
                          <a:noFill/>
                          <a:ln>
                            <a:noFill/>
                          </a:ln>
                        </pic:spPr>
                      </pic:pic>
                    </a:graphicData>
                  </a:graphic>
                </wp:inline>
              </w:drawing>
            </w:r>
          </w:p>
          <w:p w:rsidR="008D6E9B" w:rsidRPr="00703017" w:rsidRDefault="008D6E9B" w:rsidP="009D4C75">
            <w:pPr>
              <w:spacing w:line="240" w:lineRule="auto"/>
              <w:ind w:left="2880"/>
              <w:jc w:val="both"/>
              <w:rPr>
                <w:rFonts w:ascii="Arial" w:hAnsi="Arial" w:cs="Arial"/>
                <w:sz w:val="16"/>
                <w:szCs w:val="16"/>
                <w:lang w:val="bg-BG" w:eastAsia="de-DE"/>
              </w:rPr>
            </w:pPr>
            <w:r w:rsidRPr="00703017">
              <w:rPr>
                <w:rFonts w:ascii="Arial" w:hAnsi="Arial" w:cs="Arial"/>
                <w:sz w:val="16"/>
                <w:szCs w:val="16"/>
                <w:lang w:val="bg-BG"/>
              </w:rPr>
              <w:t>(Фигурата е взета от: Laudet, A. et al., 1999)</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3017">
        <w:trPr>
          <w:trHeight w:val="301"/>
          <w:jc w:val="center"/>
        </w:trPr>
        <w:tc>
          <w:tcPr>
            <w:tcW w:w="0" w:type="auto"/>
            <w:tcBorders>
              <w:top w:val="nil"/>
              <w:left w:val="single" w:sz="8" w:space="0" w:color="auto"/>
              <w:right w:val="single" w:sz="4" w:space="0" w:color="auto"/>
            </w:tcBorders>
            <w:vAlign w:val="center"/>
          </w:tcPr>
          <w:p w:rsidR="008D6E9B" w:rsidRPr="0070774F" w:rsidRDefault="008D6E9B" w:rsidP="00B71C2F">
            <w:pPr>
              <w:keepNext/>
              <w:spacing w:line="240" w:lineRule="auto"/>
              <w:rPr>
                <w:rFonts w:ascii="Arial" w:hAnsi="Arial" w:cs="Arial"/>
                <w:sz w:val="16"/>
                <w:szCs w:val="16"/>
                <w:lang w:val="bg-BG" w:eastAsia="de-DE"/>
              </w:rPr>
            </w:pPr>
            <w:r w:rsidRPr="0070774F">
              <w:rPr>
                <w:rFonts w:ascii="Arial" w:hAnsi="Arial" w:cs="Arial"/>
                <w:sz w:val="16"/>
                <w:szCs w:val="16"/>
                <w:lang w:val="bg-BG"/>
              </w:rPr>
              <w:t>CaO</w:t>
            </w:r>
          </w:p>
        </w:tc>
        <w:tc>
          <w:tcPr>
            <w:tcW w:w="0" w:type="auto"/>
            <w:gridSpan w:val="4"/>
            <w:tcBorders>
              <w:top w:val="nil"/>
              <w:left w:val="nil"/>
              <w:bottom w:val="single" w:sz="4" w:space="0" w:color="auto"/>
              <w:right w:val="single" w:sz="8" w:space="0" w:color="auto"/>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fr-BE"/>
              </w:rPr>
              <w:t>180 000</w:t>
            </w:r>
            <w:r w:rsidRPr="0070774F">
              <w:rPr>
                <w:rFonts w:ascii="Arial" w:hAnsi="Arial" w:cs="Arial"/>
                <w:sz w:val="16"/>
                <w:szCs w:val="16"/>
                <w:lang w:val="bg-BG"/>
              </w:rPr>
              <w:t xml:space="preserve"> kg/ha</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774F" w:rsidRDefault="008D6E9B" w:rsidP="009D4C75">
            <w:pPr>
              <w:keepNext/>
              <w:spacing w:line="240" w:lineRule="auto"/>
              <w:jc w:val="both"/>
              <w:rPr>
                <w:rFonts w:ascii="Arial" w:hAnsi="Arial" w:cs="Arial"/>
                <w:b/>
                <w:bCs/>
                <w:color w:val="0000FF"/>
                <w:sz w:val="16"/>
                <w:szCs w:val="16"/>
                <w:lang w:val="bg-BG" w:eastAsia="de-DE"/>
              </w:rPr>
            </w:pPr>
            <w:r w:rsidRPr="0070774F">
              <w:rPr>
                <w:rFonts w:ascii="Arial" w:hAnsi="Arial" w:cs="Arial"/>
                <w:b/>
                <w:bCs/>
                <w:color w:val="0000FF"/>
                <w:sz w:val="16"/>
                <w:szCs w:val="16"/>
                <w:lang w:val="bg-BG"/>
              </w:rPr>
              <w:t>Честота и продължителност на употребата</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774F" w:rsidRDefault="008D6E9B" w:rsidP="00841927">
            <w:pPr>
              <w:spacing w:line="240" w:lineRule="auto"/>
              <w:jc w:val="both"/>
              <w:rPr>
                <w:rFonts w:ascii="Arial" w:hAnsi="Arial" w:cs="Arial"/>
                <w:sz w:val="16"/>
                <w:szCs w:val="16"/>
                <w:lang w:val="bg-BG" w:eastAsia="de-DE"/>
              </w:rPr>
            </w:pPr>
            <w:r w:rsidRPr="0070774F">
              <w:rPr>
                <w:rFonts w:ascii="Arial" w:hAnsi="Arial" w:cs="Arial"/>
                <w:sz w:val="16"/>
                <w:szCs w:val="16"/>
                <w:lang w:val="bg-BG"/>
              </w:rPr>
              <w:t>1 ден/година и само веднъж в живота. Позволено е многократно прилагане през годината, при положение че общото годишно количество от 180 000 kg/ha не се надхвърля (CaO)</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CCCCC"/>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Площ на повърхността: 1 ha</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3017">
        <w:trPr>
          <w:trHeight w:val="52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Варта се прилага само към почвата в техносферата, преди построяването на пътища. Няма директни отделяния в прилежащите повърхностни води.</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D6E9B" w:rsidRPr="00703017">
        <w:trPr>
          <w:trHeight w:val="40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3. Оценка на експозицията и референция на източника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D6E9B" w:rsidRPr="0070774F">
        <w:trPr>
          <w:trHeight w:val="60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774F" w:rsidRDefault="008D6E9B" w:rsidP="009D4C75">
            <w:pPr>
              <w:keepNext/>
              <w:spacing w:line="240" w:lineRule="auto"/>
              <w:rPr>
                <w:rFonts w:ascii="Arial" w:hAnsi="Arial" w:cs="Arial"/>
                <w:sz w:val="16"/>
                <w:szCs w:val="16"/>
                <w:lang w:val="bg-BG" w:eastAsia="de-DE"/>
              </w:rPr>
            </w:pPr>
            <w:r w:rsidRPr="0070774F">
              <w:rPr>
                <w:rFonts w:ascii="Arial" w:hAnsi="Arial" w:cs="Arial"/>
                <w:sz w:val="16"/>
                <w:szCs w:val="16"/>
                <w:lang w:val="bg-BG"/>
              </w:rPr>
              <w:t>Инструментът за оценка на експозицията MEASE се използва за оценка на експозицията при вдишване. Съотношението на характеризиране на риска (RCR) еотношение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за CaO от 1 mg/m³ (като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тъй като вдишаната фракция е подфракция на вдишваната фракция, съгласно EN 481.</w:t>
            </w:r>
          </w:p>
        </w:tc>
      </w:tr>
      <w:tr w:rsidR="008D6E9B" w:rsidRPr="0070774F">
        <w:trPr>
          <w:trHeight w:val="679"/>
          <w:jc w:val="center"/>
        </w:trPr>
        <w:tc>
          <w:tcPr>
            <w:tcW w:w="0" w:type="auto"/>
            <w:tcBorders>
              <w:top w:val="nil"/>
              <w:left w:val="single" w:sz="8" w:space="0" w:color="auto"/>
              <w:bottom w:val="single" w:sz="4" w:space="0" w:color="000000"/>
              <w:right w:val="single" w:sz="4" w:space="0" w:color="auto"/>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Методология, използвана за оценка на експозицията при вдишване</w:t>
            </w:r>
          </w:p>
        </w:tc>
        <w:tc>
          <w:tcPr>
            <w:tcW w:w="0" w:type="auto"/>
            <w:tcBorders>
              <w:top w:val="nil"/>
              <w:left w:val="nil"/>
              <w:bottom w:val="single" w:sz="4" w:space="0" w:color="auto"/>
              <w:right w:val="single" w:sz="4" w:space="0" w:color="auto"/>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на експозиция при вдишване (RCR)</w:t>
            </w:r>
          </w:p>
        </w:tc>
        <w:tc>
          <w:tcPr>
            <w:tcW w:w="0" w:type="auto"/>
            <w:tcBorders>
              <w:top w:val="nil"/>
              <w:left w:val="nil"/>
              <w:bottom w:val="single" w:sz="4" w:space="0" w:color="auto"/>
              <w:right w:val="single" w:sz="4" w:space="0" w:color="auto"/>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Методология, използвана за оценка на дермалната експозиция</w:t>
            </w:r>
          </w:p>
        </w:tc>
        <w:tc>
          <w:tcPr>
            <w:tcW w:w="0" w:type="auto"/>
            <w:tcBorders>
              <w:top w:val="nil"/>
              <w:left w:val="nil"/>
              <w:bottom w:val="single" w:sz="4" w:space="0" w:color="000000"/>
              <w:right w:val="single" w:sz="8" w:space="0" w:color="auto"/>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при дермална експозиция (RCR)</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 3, 4, 5, 8a, 8b, 9, 10, 11, 13, 15, 16, 17, 18, 19, 25, 26</w:t>
            </w:r>
          </w:p>
        </w:tc>
        <w:tc>
          <w:tcPr>
            <w:tcW w:w="0" w:type="auto"/>
            <w:tcBorders>
              <w:top w:val="single" w:sz="4" w:space="0" w:color="000000"/>
              <w:left w:val="nil"/>
              <w:bottom w:val="single" w:sz="4" w:space="0" w:color="000000"/>
              <w:right w:val="single" w:sz="4" w:space="0" w:color="auto"/>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MEASE</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774F" w:rsidRDefault="008D6E9B" w:rsidP="007D259C">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 xml:space="preserve">&lt; 1 mg/m³ </w:t>
            </w:r>
            <w:r w:rsidRPr="0070774F">
              <w:rPr>
                <w:rFonts w:ascii="Arial" w:hAnsi="Arial" w:cs="Arial"/>
                <w:sz w:val="16"/>
                <w:szCs w:val="16"/>
                <w:lang w:val="bg-BG"/>
              </w:rPr>
              <w:br/>
              <w:t>(0</w:t>
            </w:r>
            <w:r w:rsidRPr="0070774F">
              <w:rPr>
                <w:rFonts w:ascii="Arial" w:hAnsi="Arial" w:cs="Arial"/>
                <w:sz w:val="16"/>
                <w:szCs w:val="16"/>
                <w:lang w:val="de-DE"/>
              </w:rPr>
              <w:t>,</w:t>
            </w:r>
            <w:r w:rsidRPr="0070774F">
              <w:rPr>
                <w:rFonts w:ascii="Arial" w:hAnsi="Arial" w:cs="Arial"/>
                <w:sz w:val="16"/>
                <w:szCs w:val="16"/>
                <w:lang w:val="bg-BG"/>
              </w:rPr>
              <w:t>5 – 0</w:t>
            </w:r>
            <w:r w:rsidRPr="0070774F">
              <w:rPr>
                <w:rFonts w:ascii="Arial" w:hAnsi="Arial" w:cs="Arial"/>
                <w:sz w:val="16"/>
                <w:szCs w:val="16"/>
                <w:lang w:val="de-DE"/>
              </w:rPr>
              <w:t>,</w:t>
            </w:r>
            <w:r w:rsidRPr="0070774F">
              <w:rPr>
                <w:rFonts w:ascii="Arial" w:hAnsi="Arial" w:cs="Arial"/>
                <w:sz w:val="16"/>
                <w:szCs w:val="16"/>
                <w:lang w:val="bg-BG"/>
              </w:rPr>
              <w:t>825)</w:t>
            </w:r>
          </w:p>
        </w:tc>
        <w:tc>
          <w:tcPr>
            <w:tcW w:w="0" w:type="auto"/>
            <w:gridSpan w:val="2"/>
            <w:tcBorders>
              <w:top w:val="single" w:sz="4" w:space="0" w:color="000000"/>
              <w:left w:val="nil"/>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Тъй като CaO се класифицира като дразнещо кожата, дермалната експозиция трябва да се минимализира до технически оправданото. Не е получен DNEL за дермалните ефекти. Така че дермалната експозиция не се оценява в този сценарий на експозиция.</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774F" w:rsidRDefault="008D6E9B" w:rsidP="009D4C75">
            <w:pPr>
              <w:keepNext/>
              <w:spacing w:line="240" w:lineRule="auto"/>
              <w:jc w:val="both"/>
              <w:rPr>
                <w:rFonts w:ascii="Arial" w:hAnsi="Arial" w:cs="Arial"/>
                <w:b/>
                <w:bCs/>
                <w:color w:val="0000FF"/>
                <w:sz w:val="16"/>
                <w:szCs w:val="16"/>
                <w:lang w:val="bg-BG" w:eastAsia="de-DE"/>
              </w:rPr>
            </w:pPr>
            <w:r w:rsidRPr="0070774F">
              <w:rPr>
                <w:rFonts w:ascii="Arial" w:hAnsi="Arial" w:cs="Arial"/>
                <w:b/>
                <w:bCs/>
                <w:color w:val="0000FF"/>
                <w:sz w:val="16"/>
                <w:szCs w:val="16"/>
                <w:lang w:val="bg-BG"/>
              </w:rPr>
              <w:t>Експозицията за околната среда за целите на защита на селскостопанската почва</w:t>
            </w:r>
          </w:p>
        </w:tc>
      </w:tr>
      <w:tr w:rsidR="008D6E9B" w:rsidRPr="0070774F">
        <w:trPr>
          <w:cantSplit/>
          <w:trHeight w:val="301"/>
          <w:jc w:val="center"/>
        </w:trPr>
        <w:tc>
          <w:tcPr>
            <w:tcW w:w="0" w:type="auto"/>
            <w:gridSpan w:val="5"/>
            <w:tcBorders>
              <w:top w:val="nil"/>
              <w:left w:val="single" w:sz="8" w:space="0" w:color="auto"/>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Изчислението PEC за подпочвените и повърхностните води се основава на групата почви FOCUS (FOCUS, 1996) и на проекто-ръководството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(Kloskowksi et al.,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биоцидни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 веднъж приложено към почвата, CaO може действително да мигрира към повърхностните води, чрез дрейфа.</w:t>
            </w:r>
          </w:p>
        </w:tc>
      </w:tr>
      <w:tr w:rsidR="008D6E9B" w:rsidRPr="00703017">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both"/>
              <w:rPr>
                <w:rFonts w:ascii="Arial" w:hAnsi="Arial" w:cs="Arial"/>
                <w:sz w:val="16"/>
                <w:szCs w:val="16"/>
                <w:lang w:val="bg-BG" w:eastAsia="de-DE"/>
              </w:rPr>
            </w:pPr>
            <w:r w:rsidRPr="0070774F">
              <w:rPr>
                <w:rFonts w:ascii="Arial" w:hAnsi="Arial" w:cs="Arial"/>
                <w:sz w:val="16"/>
                <w:szCs w:val="16"/>
                <w:lang w:val="bg-BG"/>
              </w:rPr>
              <w:t>Вижте използваните количества</w:t>
            </w:r>
          </w:p>
        </w:tc>
      </w:tr>
      <w:tr w:rsidR="008D6E9B" w:rsidRPr="0070774F">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both"/>
              <w:rPr>
                <w:rFonts w:ascii="Arial" w:hAnsi="Arial" w:cs="Arial"/>
                <w:sz w:val="16"/>
                <w:szCs w:val="16"/>
                <w:lang w:val="bg-BG" w:eastAsia="de-DE"/>
              </w:rPr>
            </w:pPr>
            <w:r w:rsidRPr="0070774F">
              <w:rPr>
                <w:rFonts w:ascii="Arial" w:hAnsi="Arial" w:cs="Arial"/>
                <w:sz w:val="16"/>
                <w:szCs w:val="16"/>
                <w:lang w:val="bg-BG"/>
              </w:rPr>
              <w:t>Ирелевантно за защита на селскостопанската почва</w:t>
            </w:r>
          </w:p>
        </w:tc>
      </w:tr>
      <w:tr w:rsidR="008D6E9B" w:rsidRPr="00703017">
        <w:trPr>
          <w:cantSplit/>
          <w:trHeight w:val="252"/>
          <w:jc w:val="center"/>
        </w:trPr>
        <w:tc>
          <w:tcPr>
            <w:tcW w:w="0" w:type="auto"/>
            <w:vMerge w:val="restart"/>
            <w:tcBorders>
              <w:top w:val="single" w:sz="4" w:space="0" w:color="000000"/>
              <w:left w:val="single" w:sz="8" w:space="0" w:color="auto"/>
              <w:bottom w:val="single" w:sz="4" w:space="0" w:color="auto"/>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водно-пелагична камера</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PEC (ug/L)</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PNEC (ug/L)</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RCR</w:t>
            </w:r>
          </w:p>
        </w:tc>
      </w:tr>
      <w:tr w:rsidR="008D6E9B" w:rsidRPr="00703017">
        <w:trPr>
          <w:cantSplit/>
          <w:trHeight w:val="252"/>
          <w:jc w:val="center"/>
        </w:trPr>
        <w:tc>
          <w:tcPr>
            <w:tcW w:w="0" w:type="auto"/>
            <w:vMerge/>
            <w:tcBorders>
              <w:top w:val="single" w:sz="4" w:space="0" w:color="auto"/>
              <w:left w:val="single" w:sz="8" w:space="0" w:color="auto"/>
              <w:bottom w:val="single" w:sz="4" w:space="0" w:color="auto"/>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CaO</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fr-BE" w:eastAsia="de-DE"/>
              </w:rPr>
            </w:pPr>
            <w:r w:rsidRPr="0070774F">
              <w:rPr>
                <w:rFonts w:ascii="Arial" w:hAnsi="Arial" w:cs="Arial"/>
                <w:sz w:val="16"/>
                <w:szCs w:val="16"/>
                <w:lang w:val="fr-BE"/>
              </w:rPr>
              <w:t>5,66</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fr-BE" w:eastAsia="de-DE"/>
              </w:rPr>
            </w:pPr>
            <w:r w:rsidRPr="0070774F">
              <w:rPr>
                <w:rFonts w:ascii="Arial" w:hAnsi="Arial" w:cs="Arial"/>
                <w:sz w:val="16"/>
                <w:szCs w:val="16"/>
                <w:lang w:val="fr-BE"/>
              </w:rPr>
              <w:t>370</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0</w:t>
            </w:r>
            <w:r w:rsidRPr="0070774F">
              <w:rPr>
                <w:rFonts w:ascii="Arial" w:hAnsi="Arial" w:cs="Arial"/>
                <w:sz w:val="16"/>
                <w:szCs w:val="16"/>
                <w:lang w:val="de-DE"/>
              </w:rPr>
              <w:t>,</w:t>
            </w:r>
            <w:r w:rsidRPr="0070774F">
              <w:rPr>
                <w:rFonts w:ascii="Arial" w:hAnsi="Arial" w:cs="Arial"/>
                <w:sz w:val="16"/>
                <w:szCs w:val="16"/>
                <w:lang w:val="bg-BG"/>
              </w:rPr>
              <w:t>015</w:t>
            </w:r>
          </w:p>
        </w:tc>
      </w:tr>
      <w:tr w:rsidR="008D6E9B" w:rsidRPr="0070774F">
        <w:trPr>
          <w:cantSplit/>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Както беше описано по-горе, не се очаква експозиция на повърхностните води, нито на седиментите. Нещо повече, в естествените води хидроксидните йони влизат в реакция с HCO3–, в резултат на която се получава вода и CO32-. CO32- поражда CaCO3 чрез реакция с Ca2+. Калциевият карбонат се утаява и се отлага като седимент. Калциевият карбонат е слабо разтворим и е съставна част на естествената почва.</w:t>
            </w:r>
          </w:p>
        </w:tc>
      </w:tr>
      <w:tr w:rsidR="008D6E9B" w:rsidRPr="00703017">
        <w:trPr>
          <w:cantSplit/>
          <w:trHeight w:val="66"/>
          <w:jc w:val="center"/>
        </w:trPr>
        <w:tc>
          <w:tcPr>
            <w:tcW w:w="0" w:type="auto"/>
            <w:vMerge w:val="restart"/>
            <w:tcBorders>
              <w:top w:val="single" w:sz="4" w:space="0" w:color="000000"/>
              <w:left w:val="single" w:sz="8" w:space="0" w:color="auto"/>
              <w:right w:val="single" w:sz="4" w:space="0" w:color="000000"/>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PEC (mg/L)</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PNEC (mg/L)</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RCR</w:t>
            </w:r>
          </w:p>
        </w:tc>
      </w:tr>
      <w:tr w:rsidR="008D6E9B" w:rsidRPr="00703017">
        <w:trPr>
          <w:cantSplit/>
          <w:trHeight w:val="266"/>
          <w:jc w:val="center"/>
        </w:trPr>
        <w:tc>
          <w:tcPr>
            <w:tcW w:w="0" w:type="auto"/>
            <w:vMerge/>
            <w:tcBorders>
              <w:top w:val="single" w:sz="4" w:space="0" w:color="auto"/>
              <w:left w:val="single" w:sz="8" w:space="0" w:color="auto"/>
              <w:right w:val="single" w:sz="4" w:space="0" w:color="000000"/>
            </w:tcBorders>
            <w:vAlign w:val="center"/>
          </w:tcPr>
          <w:p w:rsidR="008D6E9B" w:rsidRPr="00703017" w:rsidRDefault="008D6E9B" w:rsidP="009D4C75">
            <w:pPr>
              <w:keepNext/>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CaO</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fr-BE"/>
              </w:rPr>
              <w:t>50</w:t>
            </w:r>
            <w:r w:rsidRPr="0070774F">
              <w:rPr>
                <w:rFonts w:ascii="Arial" w:hAnsi="Arial" w:cs="Arial"/>
                <w:sz w:val="16"/>
                <w:szCs w:val="16"/>
                <w:lang w:val="bg-BG"/>
              </w:rPr>
              <w:t>0</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fr-BE" w:eastAsia="de-DE"/>
              </w:rPr>
            </w:pPr>
            <w:r w:rsidRPr="0070774F">
              <w:rPr>
                <w:rFonts w:ascii="Arial" w:hAnsi="Arial" w:cs="Arial"/>
                <w:sz w:val="16"/>
                <w:szCs w:val="16"/>
                <w:lang w:val="fr-BE"/>
              </w:rPr>
              <w:t>816</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0</w:t>
            </w:r>
            <w:r w:rsidRPr="0070774F">
              <w:rPr>
                <w:rFonts w:ascii="Arial" w:hAnsi="Arial" w:cs="Arial"/>
                <w:sz w:val="16"/>
                <w:szCs w:val="16"/>
                <w:lang w:val="de-DE"/>
              </w:rPr>
              <w:t>,</w:t>
            </w:r>
            <w:r w:rsidRPr="0070774F">
              <w:rPr>
                <w:rFonts w:ascii="Arial" w:hAnsi="Arial" w:cs="Arial"/>
                <w:sz w:val="16"/>
                <w:szCs w:val="16"/>
                <w:lang w:val="bg-BG"/>
              </w:rPr>
              <w:t>61</w:t>
            </w:r>
          </w:p>
        </w:tc>
      </w:tr>
      <w:tr w:rsidR="008D6E9B" w:rsidRPr="0070774F">
        <w:trPr>
          <w:cantSplit/>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Тази точка е ирелевантна. CaO не е летливо. Парното налягане е под 10</w:t>
            </w:r>
            <w:r w:rsidRPr="0070774F">
              <w:rPr>
                <w:rFonts w:ascii="Arial" w:hAnsi="Arial" w:cs="Arial"/>
                <w:sz w:val="16"/>
                <w:szCs w:val="16"/>
                <w:vertAlign w:val="superscript"/>
                <w:lang w:val="bg-BG"/>
              </w:rPr>
              <w:t>–5</w:t>
            </w:r>
            <w:r w:rsidRPr="0070774F">
              <w:rPr>
                <w:rFonts w:ascii="Arial" w:hAnsi="Arial" w:cs="Arial"/>
                <w:sz w:val="16"/>
                <w:szCs w:val="16"/>
                <w:lang w:val="bg-BG"/>
              </w:rPr>
              <w:t xml:space="preserve"> Pa.</w:t>
            </w:r>
          </w:p>
        </w:tc>
      </w:tr>
      <w:tr w:rsidR="008D6E9B" w:rsidRPr="0070774F">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 понеже калцият може да се приеме за присъстващ навсякъде и основен елемент на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Експозицията за околната среда – третиране на почвата в гражданското строителство</w:t>
            </w:r>
          </w:p>
        </w:tc>
      </w:tr>
      <w:tr w:rsidR="008D6E9B" w:rsidRPr="0070774F">
        <w:trPr>
          <w:cantSplit/>
          <w:trHeight w:val="301"/>
          <w:jc w:val="center"/>
        </w:trPr>
        <w:tc>
          <w:tcPr>
            <w:tcW w:w="0" w:type="auto"/>
            <w:gridSpan w:val="5"/>
            <w:tcBorders>
              <w:top w:val="nil"/>
              <w:left w:val="single" w:sz="8" w:space="0" w:color="auto"/>
              <w:bottom w:val="single" w:sz="4" w:space="0" w:color="000000"/>
              <w:right w:val="single" w:sz="8" w:space="0" w:color="000000"/>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Сценарият за третиране на почвата в гражданското строителство се основава на сценария за границата на пътя. На специална техническа среща за границата на пътя (Испра, 5 септември 2003 г.), Страните-членки на ЕС и представителите на бранша приеха дефиниция за </w:t>
            </w:r>
            <w:r>
              <w:rPr>
                <w:rFonts w:ascii="Arial" w:hAnsi="Arial" w:cs="Arial"/>
                <w:sz w:val="16"/>
                <w:szCs w:val="16"/>
                <w:lang w:val="bg-BG"/>
              </w:rPr>
              <w:t>„</w:t>
            </w:r>
            <w:r w:rsidRPr="00703017">
              <w:rPr>
                <w:rFonts w:ascii="Arial" w:hAnsi="Arial" w:cs="Arial"/>
                <w:sz w:val="16"/>
                <w:szCs w:val="16"/>
                <w:lang w:val="bg-BG"/>
              </w:rPr>
              <w:t>техносферата на пътя</w:t>
            </w:r>
            <w:r w:rsidRPr="00B94FEE">
              <w:rPr>
                <w:rFonts w:ascii="Arial" w:hAnsi="Arial" w:cs="Arial"/>
                <w:sz w:val="16"/>
                <w:szCs w:val="16"/>
                <w:lang w:val="bg-BG"/>
              </w:rPr>
              <w:t>“</w:t>
            </w:r>
            <w:r w:rsidRPr="00703017">
              <w:rPr>
                <w:rFonts w:ascii="Arial" w:hAnsi="Arial" w:cs="Arial"/>
                <w:sz w:val="16"/>
                <w:szCs w:val="16"/>
                <w:lang w:val="bg-BG"/>
              </w:rPr>
              <w:t xml:space="preserve">. Техносферата на пътя може да се определи като </w:t>
            </w:r>
            <w:r>
              <w:rPr>
                <w:rFonts w:ascii="Arial" w:hAnsi="Arial" w:cs="Arial"/>
                <w:sz w:val="16"/>
                <w:szCs w:val="16"/>
                <w:lang w:val="bg-BG"/>
              </w:rPr>
              <w:t>„</w:t>
            </w:r>
            <w:r w:rsidRPr="00703017">
              <w:rPr>
                <w:rFonts w:ascii="Arial" w:hAnsi="Arial" w:cs="Arial"/>
                <w:sz w:val="16"/>
                <w:szCs w:val="16"/>
                <w:lang w:val="bg-BG"/>
              </w:rPr>
              <w:t>инженерната среда, която изпълнява геотехническите функции на пътя във връзка с неговата конструкция, експлоатация и поддръжка, вкл. инсталациите за осигуряване на неговата безопасност и управление на оттичащите се води. Тази техно сфера, която включва твърдия и мекия банкет на пътя, вертикално се определя от водоносния хоризонт. Пътните власти носят отговорността за тази пътна техносфера, в т.ч. и за пътната безопасност, укрепването на пътя, предотвратяване на замърсяването и управление на водите</w:t>
            </w:r>
            <w:r>
              <w:rPr>
                <w:rFonts w:ascii="Arial" w:hAnsi="Arial" w:cs="Arial"/>
                <w:sz w:val="16"/>
                <w:szCs w:val="16"/>
                <w:lang w:val="bg-BG"/>
              </w:rPr>
              <w:t>“</w:t>
            </w:r>
            <w:r w:rsidRPr="00703017">
              <w:rPr>
                <w:rFonts w:ascii="Arial" w:hAnsi="Arial" w:cs="Arial"/>
                <w:sz w:val="16"/>
                <w:szCs w:val="16"/>
                <w:lang w:val="bg-BG"/>
              </w:rPr>
              <w:t>. Следователно пътната техносфера е изключена от крайната оценка на риска за целите на съществуващите/новите разпоредби за веществата. Таргет зоната е зоната извън техносферата, за която се отнася оценката на риска за околната среда.</w:t>
            </w:r>
          </w:p>
          <w:p w:rsidR="008D6E9B" w:rsidRPr="00703017" w:rsidRDefault="008D6E9B" w:rsidP="009D4C75">
            <w:pPr>
              <w:spacing w:line="240" w:lineRule="auto"/>
              <w:jc w:val="both"/>
              <w:rPr>
                <w:rFonts w:ascii="Arial" w:hAnsi="Arial" w:cs="Arial"/>
                <w:sz w:val="16"/>
                <w:szCs w:val="16"/>
                <w:lang w:val="bg-BG" w:eastAsia="de-DE"/>
              </w:rPr>
            </w:pPr>
          </w:p>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Изчислението PEC за почвите се основава на групата почви FOCUS (FOCUS, 1996) и на проекто-ръководството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(Kloskowksi et al.,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биоцидни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w:t>
            </w:r>
          </w:p>
        </w:tc>
      </w:tr>
      <w:tr w:rsidR="008D6E9B" w:rsidRPr="00703017">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Вижте използваните количества</w:t>
            </w:r>
          </w:p>
        </w:tc>
      </w:tr>
      <w:tr w:rsidR="008D6E9B" w:rsidRPr="0070774F">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D6E9B" w:rsidRPr="0070774F">
        <w:trPr>
          <w:cantSplit/>
          <w:trHeight w:val="681"/>
          <w:jc w:val="center"/>
        </w:trPr>
        <w:tc>
          <w:tcPr>
            <w:tcW w:w="0" w:type="auto"/>
            <w:tcBorders>
              <w:top w:val="single" w:sz="4" w:space="0" w:color="000000"/>
              <w:left w:val="single" w:sz="8" w:space="0" w:color="auto"/>
              <w:bottom w:val="single" w:sz="4" w:space="0" w:color="auto"/>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водно-пелагична камера</w:t>
            </w:r>
          </w:p>
        </w:tc>
        <w:tc>
          <w:tcPr>
            <w:tcW w:w="0" w:type="auto"/>
            <w:gridSpan w:val="4"/>
            <w:tcBorders>
              <w:top w:val="single" w:sz="4" w:space="0" w:color="000000"/>
              <w:left w:val="nil"/>
              <w:bottom w:val="single" w:sz="4" w:space="0" w:color="auto"/>
              <w:right w:val="single" w:sz="8" w:space="0" w:color="000000"/>
            </w:tcBorders>
            <w:vAlign w:val="center"/>
          </w:tcPr>
          <w:p w:rsidR="008D6E9B" w:rsidRPr="00703017" w:rsidRDefault="008D6E9B" w:rsidP="009D4C75">
            <w:pPr>
              <w:spacing w:line="240" w:lineRule="auto"/>
              <w:jc w:val="both"/>
              <w:rPr>
                <w:rFonts w:ascii="Arial" w:hAnsi="Arial" w:cs="Arial"/>
                <w:b/>
                <w:bCs/>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D6E9B" w:rsidRPr="0070774F">
        <w:trPr>
          <w:cantSplit/>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4"/>
            <w:tcBorders>
              <w:top w:val="single" w:sz="4" w:space="0" w:color="auto"/>
              <w:left w:val="nil"/>
              <w:bottom w:val="single" w:sz="4" w:space="0" w:color="000000"/>
              <w:right w:val="single" w:sz="8" w:space="0" w:color="000000"/>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D6E9B" w:rsidRPr="00703017">
        <w:trPr>
          <w:cantSplit/>
          <w:trHeight w:val="286"/>
          <w:jc w:val="center"/>
        </w:trPr>
        <w:tc>
          <w:tcPr>
            <w:tcW w:w="0" w:type="auto"/>
            <w:vMerge w:val="restart"/>
            <w:tcBorders>
              <w:top w:val="single" w:sz="4" w:space="0" w:color="000000"/>
              <w:left w:val="single" w:sz="8" w:space="0" w:color="auto"/>
              <w:bottom w:val="single" w:sz="4" w:space="0" w:color="auto"/>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(mg/L)</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(mg/L)</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D6E9B" w:rsidRPr="00703017">
        <w:trPr>
          <w:cantSplit/>
          <w:trHeight w:val="266"/>
          <w:jc w:val="center"/>
        </w:trPr>
        <w:tc>
          <w:tcPr>
            <w:tcW w:w="0" w:type="auto"/>
            <w:vMerge/>
            <w:tcBorders>
              <w:top w:val="single" w:sz="4" w:space="0" w:color="auto"/>
              <w:left w:val="single" w:sz="8" w:space="0" w:color="auto"/>
              <w:bottom w:val="single" w:sz="4" w:space="0" w:color="auto"/>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CaO</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fr-BE" w:eastAsia="de-DE"/>
              </w:rPr>
            </w:pPr>
            <w:r w:rsidRPr="0070774F">
              <w:rPr>
                <w:rFonts w:ascii="Arial" w:hAnsi="Arial" w:cs="Arial"/>
                <w:sz w:val="16"/>
                <w:szCs w:val="16"/>
                <w:lang w:val="fr-BE"/>
              </w:rPr>
              <w:t>529</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fr-BE" w:eastAsia="de-DE"/>
              </w:rPr>
            </w:pPr>
            <w:r w:rsidRPr="0070774F">
              <w:rPr>
                <w:rFonts w:ascii="Arial" w:hAnsi="Arial" w:cs="Arial"/>
                <w:sz w:val="16"/>
                <w:szCs w:val="16"/>
                <w:lang w:val="fr-BE"/>
              </w:rPr>
              <w:t>816</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0</w:t>
            </w:r>
            <w:r w:rsidRPr="0070774F">
              <w:rPr>
                <w:rFonts w:ascii="Arial" w:hAnsi="Arial" w:cs="Arial"/>
                <w:sz w:val="16"/>
                <w:szCs w:val="16"/>
                <w:lang w:val="de-DE"/>
              </w:rPr>
              <w:t>,</w:t>
            </w:r>
            <w:r w:rsidRPr="0070774F">
              <w:rPr>
                <w:rFonts w:ascii="Arial" w:hAnsi="Arial" w:cs="Arial"/>
                <w:sz w:val="16"/>
                <w:szCs w:val="16"/>
                <w:lang w:val="bg-BG"/>
              </w:rPr>
              <w:t>65</w:t>
            </w:r>
          </w:p>
        </w:tc>
      </w:tr>
      <w:tr w:rsidR="008D6E9B" w:rsidRPr="0070774F">
        <w:trPr>
          <w:cantSplit/>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Тази точка е ирелевантна. CaO не е летливо. Парното налягане е под 10</w:t>
            </w:r>
            <w:r w:rsidRPr="0070774F">
              <w:rPr>
                <w:rFonts w:ascii="Arial" w:hAnsi="Arial" w:cs="Arial"/>
                <w:sz w:val="16"/>
                <w:szCs w:val="16"/>
                <w:vertAlign w:val="superscript"/>
                <w:lang w:val="bg-BG"/>
              </w:rPr>
              <w:t>–5</w:t>
            </w:r>
            <w:r w:rsidRPr="0070774F">
              <w:rPr>
                <w:rFonts w:ascii="Arial" w:hAnsi="Arial" w:cs="Arial"/>
                <w:sz w:val="16"/>
                <w:szCs w:val="16"/>
                <w:lang w:val="bg-BG"/>
              </w:rPr>
              <w:t xml:space="preserve"> Pa.</w:t>
            </w:r>
          </w:p>
        </w:tc>
      </w:tr>
      <w:tr w:rsidR="008D6E9B" w:rsidRPr="0070774F">
        <w:trPr>
          <w:cantSplit/>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 понеже калцият може да се приеме за присъстващ навсякъде и основен елемент на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 при други начини на употреба</w:t>
            </w:r>
          </w:p>
        </w:tc>
      </w:tr>
      <w:tr w:rsidR="008D6E9B" w:rsidRPr="0070774F">
        <w:trPr>
          <w:cantSplit/>
          <w:trHeight w:val="301"/>
          <w:jc w:val="center"/>
        </w:trPr>
        <w:tc>
          <w:tcPr>
            <w:tcW w:w="0" w:type="auto"/>
            <w:gridSpan w:val="5"/>
            <w:tcBorders>
              <w:top w:val="nil"/>
              <w:left w:val="single" w:sz="8" w:space="0" w:color="auto"/>
              <w:bottom w:val="single" w:sz="4"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За всички други начини на употреба не се извършва количествена оценка на експозицията за околната среда, понеже</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Работни условия и мерките за управление на риска не са толкова строги, както при защита на селскостопанската почва или третирането на почвата при гражданското строителство</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Варта е ингредиент и химически е свързана в матрица. Отделянията са незначителни и недостатъчни да предизвикат промяна на pH в почвата, отходните и повърхностните води</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Варта се използва специално за отделяне на свободен от CO2 въздух за дишане, при реакция с CO2. Този начин на употреба се отнася само до въздушния компонент на околната среда, където се използват характеристиките на варта </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Неутрализацията/промяната на pH е целта на процеса и не се наблюдават допълнителни, нежелателни въздействия. </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 xml:space="preserve">4. Ръководство за </w:t>
            </w:r>
            <w:r>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D6E9B" w:rsidRPr="0070774F">
        <w:trPr>
          <w:cantSplit/>
          <w:trHeight w:val="1310"/>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дермалната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скалиращ инструмент, като MEASE (</w:t>
            </w:r>
            <w:hyperlink r:id="rId33"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глосара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w:t>
            </w:r>
            <w:r>
              <w:rPr>
                <w:rFonts w:ascii="Arial" w:hAnsi="Arial" w:cs="Arial"/>
                <w:sz w:val="16"/>
                <w:szCs w:val="16"/>
                <w:lang w:val="bg-BG"/>
              </w:rPr>
              <w:t>а със запрашеност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D6E9B" w:rsidRPr="00703017" w:rsidRDefault="008D6E9B" w:rsidP="009D4C75">
            <w:pPr>
              <w:spacing w:before="60" w:after="60" w:line="240" w:lineRule="auto"/>
              <w:rPr>
                <w:rFonts w:ascii="Arial" w:hAnsi="Arial" w:cs="Arial"/>
                <w:sz w:val="20"/>
                <w:szCs w:val="20"/>
                <w:lang w:val="bg-BG" w:eastAsia="de-DE"/>
              </w:rPr>
            </w:pPr>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r w:rsidRPr="00703017">
              <w:rPr>
                <w:rFonts w:ascii="Arial" w:hAnsi="Arial" w:cs="Arial"/>
                <w:sz w:val="20"/>
                <w:szCs w:val="20"/>
                <w:lang w:val="bg-BG"/>
              </w:rPr>
              <w:t>:</w:t>
            </w:r>
            <w:r w:rsidRPr="00703017">
              <w:rPr>
                <w:rFonts w:ascii="Arial" w:hAnsi="Arial" w:cs="Arial"/>
                <w:sz w:val="20"/>
                <w:szCs w:val="20"/>
                <w:lang w:val="bg-BG"/>
              </w:rPr>
              <w:tab/>
              <w:t>1 mg/m³ (като вдишван прах)</w:t>
            </w:r>
          </w:p>
          <w:p w:rsidR="008D6E9B" w:rsidRPr="00703017" w:rsidRDefault="008D6E9B" w:rsidP="009D4C75">
            <w:pPr>
              <w:tabs>
                <w:tab w:val="left" w:pos="1701"/>
              </w:tabs>
              <w:spacing w:before="60" w:after="60" w:line="240" w:lineRule="auto"/>
              <w:rPr>
                <w:rFonts w:ascii="Arial" w:hAnsi="Arial" w:cs="Arial"/>
                <w:sz w:val="20"/>
                <w:szCs w:val="20"/>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mg/m³.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bl>
    <w:p w:rsidR="008D6E9B" w:rsidRPr="00703017" w:rsidRDefault="008D6E9B" w:rsidP="009D4C75">
      <w:pPr>
        <w:jc w:val="both"/>
        <w:rPr>
          <w:rFonts w:ascii="Arial" w:hAnsi="Arial" w:cs="Arial"/>
          <w:lang w:val="bg-BG"/>
        </w:rPr>
      </w:pPr>
    </w:p>
    <w:p w:rsidR="008D6E9B" w:rsidRPr="00703017" w:rsidRDefault="008D6E9B" w:rsidP="009D4C75">
      <w:pPr>
        <w:jc w:val="both"/>
        <w:rPr>
          <w:rFonts w:ascii="Arial" w:hAnsi="Arial" w:cs="Arial"/>
          <w:lang w:val="bg-BG"/>
        </w:rPr>
      </w:pPr>
    </w:p>
    <w:p w:rsidR="008D6E9B" w:rsidRPr="00703017" w:rsidRDefault="008D6E9B" w:rsidP="000F00A4">
      <w:pPr>
        <w:keepNext/>
        <w:spacing w:before="120" w:after="60" w:line="240" w:lineRule="auto"/>
        <w:rPr>
          <w:rFonts w:ascii="Arial" w:hAnsi="Arial" w:cs="Arial"/>
          <w:b/>
          <w:bCs/>
          <w:sz w:val="20"/>
          <w:szCs w:val="20"/>
          <w:lang w:val="bg-BG"/>
        </w:rPr>
        <w:sectPr w:rsidR="008D6E9B" w:rsidRPr="00703017" w:rsidSect="006A0CE4">
          <w:headerReference w:type="default" r:id="rId34"/>
          <w:footerReference w:type="default" r:id="rId35"/>
          <w:pgSz w:w="11906" w:h="16838"/>
          <w:pgMar w:top="1417" w:right="1417" w:bottom="1134" w:left="1417" w:header="708" w:footer="708" w:gutter="0"/>
          <w:cols w:space="708"/>
          <w:docGrid w:linePitch="360"/>
        </w:sectPr>
      </w:pPr>
      <w:bookmarkStart w:id="16" w:name="_Ref265746145"/>
      <w:bookmarkStart w:id="17" w:name="_Ref265746368"/>
      <w:bookmarkStart w:id="18" w:name="_Ref265746376"/>
      <w:bookmarkStart w:id="19" w:name="_Ref265782512"/>
      <w:bookmarkStart w:id="20" w:name="_Toc270425141"/>
    </w:p>
    <w:p w:rsidR="008D6E9B" w:rsidRPr="00703017" w:rsidRDefault="008D6E9B" w:rsidP="004B205A">
      <w:pPr>
        <w:keepNext/>
        <w:pageBreakBefore/>
        <w:tabs>
          <w:tab w:val="left" w:pos="1418"/>
        </w:tabs>
        <w:spacing w:before="240" w:after="60"/>
        <w:outlineLvl w:val="1"/>
        <w:rPr>
          <w:rFonts w:ascii="Arial" w:hAnsi="Arial" w:cs="Arial"/>
          <w:b/>
          <w:bCs/>
          <w:sz w:val="28"/>
          <w:szCs w:val="28"/>
          <w:lang w:val="bg-BG"/>
        </w:rPr>
      </w:pPr>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10: Професионална употреба на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bookmarkEnd w:id="16"/>
      <w:bookmarkEnd w:id="17"/>
      <w:bookmarkEnd w:id="18"/>
      <w:r w:rsidRPr="00703017">
        <w:rPr>
          <w:rFonts w:ascii="Arial" w:hAnsi="Arial" w:cs="Arial"/>
          <w:b/>
          <w:bCs/>
          <w:sz w:val="28"/>
          <w:szCs w:val="28"/>
          <w:lang w:val="bg-BG"/>
        </w:rPr>
        <w:t xml:space="preserve"> в обработка на почвата</w:t>
      </w:r>
      <w:bookmarkEnd w:id="19"/>
      <w:bookmarkEnd w:id="20"/>
    </w:p>
    <w:tbl>
      <w:tblPr>
        <w:tblW w:w="0" w:type="auto"/>
        <w:jc w:val="center"/>
        <w:tblCellMar>
          <w:left w:w="70" w:type="dxa"/>
          <w:right w:w="70" w:type="dxa"/>
        </w:tblCellMar>
        <w:tblLook w:val="00A0" w:firstRow="1" w:lastRow="0" w:firstColumn="1" w:lastColumn="0" w:noHBand="0" w:noVBand="0"/>
      </w:tblPr>
      <w:tblGrid>
        <w:gridCol w:w="1974"/>
        <w:gridCol w:w="1403"/>
        <w:gridCol w:w="1754"/>
        <w:gridCol w:w="1870"/>
        <w:gridCol w:w="2051"/>
      </w:tblGrid>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D6E9B" w:rsidRPr="0070774F">
        <w:trPr>
          <w:trHeight w:val="315"/>
          <w:jc w:val="center"/>
        </w:trPr>
        <w:tc>
          <w:tcPr>
            <w:tcW w:w="0" w:type="auto"/>
            <w:tcBorders>
              <w:top w:val="nil"/>
              <w:left w:val="single" w:sz="8" w:space="0" w:color="auto"/>
              <w:bottom w:val="single" w:sz="4" w:space="0" w:color="auto"/>
              <w:right w:val="single" w:sz="4"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4"/>
            <w:tcBorders>
              <w:top w:val="single" w:sz="8" w:space="0" w:color="auto"/>
              <w:left w:val="single" w:sz="4" w:space="0" w:color="auto"/>
              <w:bottom w:val="single" w:sz="4" w:space="0" w:color="auto"/>
              <w:right w:val="single" w:sz="8"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Професионална употреба на </w:t>
            </w:r>
            <w:r>
              <w:rPr>
                <w:rFonts w:ascii="Arial" w:hAnsi="Arial" w:cs="Arial"/>
                <w:sz w:val="16"/>
                <w:szCs w:val="16"/>
                <w:lang w:val="bg-BG"/>
              </w:rPr>
              <w:t>варови</w:t>
            </w:r>
            <w:r w:rsidRPr="00703017">
              <w:rPr>
                <w:rFonts w:ascii="Arial" w:hAnsi="Arial" w:cs="Arial"/>
                <w:sz w:val="16"/>
                <w:szCs w:val="16"/>
                <w:lang w:val="bg-BG"/>
              </w:rPr>
              <w:t xml:space="preserve"> вещества в обработка на почвата</w:t>
            </w:r>
          </w:p>
        </w:tc>
      </w:tr>
      <w:tr w:rsidR="008D6E9B" w:rsidRPr="0070774F">
        <w:trPr>
          <w:trHeight w:val="525"/>
          <w:jc w:val="center"/>
        </w:trPr>
        <w:tc>
          <w:tcPr>
            <w:tcW w:w="0" w:type="auto"/>
            <w:tcBorders>
              <w:top w:val="single" w:sz="4" w:space="0" w:color="auto"/>
              <w:left w:val="single" w:sz="8" w:space="0" w:color="auto"/>
              <w:bottom w:val="single" w:sz="4" w:space="0" w:color="auto"/>
              <w:right w:val="single" w:sz="4"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SU22</w:t>
            </w:r>
            <w:r w:rsidRPr="00703017">
              <w:rPr>
                <w:lang w:val="bg-BG"/>
              </w:rPr>
              <w:br/>
            </w:r>
            <w:r w:rsidRPr="00703017">
              <w:rPr>
                <w:rFonts w:ascii="Arial" w:hAnsi="Arial" w:cs="Arial"/>
                <w:sz w:val="16"/>
                <w:szCs w:val="16"/>
                <w:lang w:val="bg-BG"/>
              </w:rPr>
              <w:t>(съответните PROC и ERC са дадени в Раздел 2 по-долу)</w:t>
            </w:r>
          </w:p>
        </w:tc>
      </w:tr>
      <w:tr w:rsidR="008D6E9B" w:rsidRPr="0070774F">
        <w:trPr>
          <w:trHeight w:val="525"/>
          <w:jc w:val="center"/>
        </w:trPr>
        <w:tc>
          <w:tcPr>
            <w:tcW w:w="0" w:type="auto"/>
            <w:tcBorders>
              <w:top w:val="single" w:sz="4" w:space="0" w:color="auto"/>
              <w:left w:val="single" w:sz="8" w:space="0" w:color="auto"/>
              <w:bottom w:val="single" w:sz="4" w:space="0" w:color="auto"/>
              <w:right w:val="single" w:sz="4"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D6E9B" w:rsidRPr="00703017">
        <w:trPr>
          <w:trHeight w:val="444"/>
          <w:jc w:val="center"/>
        </w:trPr>
        <w:tc>
          <w:tcPr>
            <w:tcW w:w="0" w:type="auto"/>
            <w:tcBorders>
              <w:top w:val="single" w:sz="4" w:space="0" w:color="auto"/>
              <w:left w:val="single" w:sz="8" w:space="0" w:color="auto"/>
              <w:bottom w:val="single" w:sz="8" w:space="0" w:color="auto"/>
              <w:right w:val="single" w:sz="4" w:space="0" w:color="auto"/>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4"/>
            <w:tcBorders>
              <w:top w:val="single" w:sz="4" w:space="0" w:color="auto"/>
              <w:left w:val="single" w:sz="4" w:space="0" w:color="auto"/>
              <w:bottom w:val="single" w:sz="8" w:space="0" w:color="auto"/>
              <w:right w:val="single" w:sz="8"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измерените данни и на инструмента за оценка на експозицията MEASE.</w:t>
            </w:r>
            <w:r w:rsidRPr="00703017">
              <w:rPr>
                <w:lang w:val="bg-BG"/>
              </w:rPr>
              <w:br/>
            </w:r>
            <w:r w:rsidRPr="00703017">
              <w:rPr>
                <w:rFonts w:ascii="Arial" w:hAnsi="Arial" w:cs="Arial"/>
                <w:sz w:val="16"/>
                <w:szCs w:val="16"/>
                <w:lang w:val="bg-BG"/>
              </w:rPr>
              <w:t>Оценката за околната среда се основава на FOCUS-Exposit.</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D6E9B" w:rsidRPr="00703017">
        <w:trPr>
          <w:trHeight w:val="315"/>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Задача/ERC</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0" w:type="auto"/>
            <w:gridSpan w:val="2"/>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Смилане</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PROC 5</w:t>
            </w:r>
          </w:p>
        </w:tc>
        <w:tc>
          <w:tcPr>
            <w:tcW w:w="0" w:type="auto"/>
            <w:gridSpan w:val="2"/>
            <w:vMerge w:val="restart"/>
            <w:tcBorders>
              <w:top w:val="single" w:sz="4" w:space="0" w:color="000000"/>
              <w:left w:val="nil"/>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Подготовка за използване на CaO за третиране на почвата.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Товарене на разпръсквачка</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PROC 8b, PROC 26</w:t>
            </w:r>
          </w:p>
        </w:tc>
        <w:tc>
          <w:tcPr>
            <w:tcW w:w="0" w:type="auto"/>
            <w:gridSpan w:val="2"/>
            <w:vMerge/>
            <w:tcBorders>
              <w:left w:val="nil"/>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Третиране на почвата (разпръскване)</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PROC 11</w:t>
            </w:r>
          </w:p>
        </w:tc>
        <w:tc>
          <w:tcPr>
            <w:tcW w:w="0" w:type="auto"/>
            <w:gridSpan w:val="2"/>
            <w:vMerge/>
            <w:tcBorders>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p>
        </w:tc>
      </w:tr>
      <w:tr w:rsidR="008D6E9B" w:rsidRPr="0070774F">
        <w:trPr>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ERC2, ERC8a, ERC8b, ERC8c, ERC8d, ERC8e, ERC8f</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Широко дисперсивна употреба на открито и закрито на реактивни вещества или подобрители на процеса в отворени системи</w:t>
            </w:r>
          </w:p>
        </w:tc>
        <w:tc>
          <w:tcPr>
            <w:tcW w:w="0" w:type="auto"/>
            <w:gridSpan w:val="2"/>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CaO се прилага в множество случаи на широко дисперсивна употреба: в селското и горското стопанство, в отглеждането на риба и скариди, третиране на почвата и опазване на околната среда.</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2.1 Контрол на експозицията на работниците</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trHeight w:val="84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абразивност се взема предвид нивото й, вместо вътрешно присъщия емисионен потенциал на веществото.</w:t>
            </w:r>
          </w:p>
        </w:tc>
      </w:tr>
      <w:tr w:rsidR="008D6E9B" w:rsidRPr="00703017">
        <w:trPr>
          <w:trHeight w:val="301"/>
          <w:jc w:val="center"/>
        </w:trPr>
        <w:tc>
          <w:tcPr>
            <w:tcW w:w="0" w:type="auto"/>
            <w:tcBorders>
              <w:top w:val="nil"/>
              <w:left w:val="single" w:sz="8" w:space="0" w:color="auto"/>
              <w:bottom w:val="single" w:sz="4" w:space="0" w:color="000000"/>
              <w:right w:val="single" w:sz="4" w:space="0" w:color="auto"/>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Задача</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Смилане</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Товарене на разпръсквачка</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Третиране на почвата (разпръскване)</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774F">
        <w:trPr>
          <w:trHeight w:val="673"/>
          <w:jc w:val="center"/>
        </w:trPr>
        <w:tc>
          <w:tcPr>
            <w:tcW w:w="0" w:type="auto"/>
            <w:gridSpan w:val="5"/>
            <w:tcBorders>
              <w:top w:val="nil"/>
              <w:left w:val="single" w:sz="8" w:space="0" w:color="auto"/>
              <w:right w:val="single" w:sz="8" w:space="0" w:color="000000"/>
            </w:tcBorders>
            <w:vAlign w:val="center"/>
          </w:tcPr>
          <w:p w:rsidR="008D6E9B" w:rsidRPr="00703017" w:rsidRDefault="008D6E9B"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детерминант на вътрешно присъщия на процеса емисионен потенциал.</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Задача</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Смилане</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240 минути</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Товарене на разпръсквачка</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240 минути</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Третиране на почвата (разпръскване)</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bl>
    <w:p w:rsidR="008D6E9B" w:rsidRPr="000241F3" w:rsidRDefault="008D6E9B" w:rsidP="009D4C75">
      <w:pPr>
        <w:keepNext/>
        <w:spacing w:line="240" w:lineRule="auto"/>
        <w:jc w:val="both"/>
        <w:rPr>
          <w:rFonts w:ascii="Arial" w:hAnsi="Arial" w:cs="Arial"/>
          <w:b/>
          <w:bCs/>
          <w:color w:val="0000FF"/>
          <w:sz w:val="16"/>
          <w:szCs w:val="16"/>
          <w:lang w:val="de-DE"/>
        </w:rPr>
        <w:sectPr w:rsidR="008D6E9B" w:rsidRPr="000241F3" w:rsidSect="006A0CE4">
          <w:headerReference w:type="default" r:id="rId36"/>
          <w:footerReference w:type="default" r:id="rId37"/>
          <w:pgSz w:w="11906" w:h="16838"/>
          <w:pgMar w:top="1417" w:right="1417" w:bottom="1134" w:left="1417" w:header="708" w:footer="708" w:gutter="0"/>
          <w:cols w:space="708"/>
          <w:docGrid w:linePitch="360"/>
        </w:sectPr>
      </w:pPr>
    </w:p>
    <w:tbl>
      <w:tblPr>
        <w:tblW w:w="0" w:type="auto"/>
        <w:jc w:val="center"/>
        <w:tblCellMar>
          <w:left w:w="70" w:type="dxa"/>
          <w:right w:w="70" w:type="dxa"/>
        </w:tblCellMar>
        <w:tblLook w:val="00A0" w:firstRow="1" w:lastRow="0" w:firstColumn="1" w:lastColumn="0" w:noHBand="0" w:noVBand="0"/>
      </w:tblPr>
      <w:tblGrid>
        <w:gridCol w:w="1806"/>
        <w:gridCol w:w="1795"/>
        <w:gridCol w:w="1560"/>
        <w:gridCol w:w="1802"/>
        <w:gridCol w:w="2089"/>
      </w:tblGrid>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Човешки фактори, които не се влияят от управлението на риска</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D6E9B" w:rsidRPr="0070774F">
        <w:trPr>
          <w:trHeight w:val="368"/>
          <w:jc w:val="center"/>
        </w:trPr>
        <w:tc>
          <w:tcPr>
            <w:tcW w:w="0" w:type="auto"/>
            <w:gridSpan w:val="5"/>
            <w:tcBorders>
              <w:top w:val="single" w:sz="4"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Работни условия (като температура и налягане на процеса) се считат за ирелевантни при оценката на професионалната експозиция на извършваните процеси.</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Измервания на ниво процес като елемент на управлението на риска (напр. задържане или сегрегиране на емисионния източник) по принцип не се изискват при процесите.</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контрол на дисперсията от източника към работника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Задача</w:t>
            </w:r>
          </w:p>
        </w:tc>
        <w:tc>
          <w:tcPr>
            <w:tcW w:w="0" w:type="auto"/>
            <w:tcBorders>
              <w:top w:val="nil"/>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tcBorders>
              <w:top w:val="nil"/>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tcBorders>
              <w:top w:val="nil"/>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LC</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D6E9B" w:rsidRPr="00703017">
        <w:trPr>
          <w:trHeight w:val="363"/>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Смилане</w:t>
            </w:r>
          </w:p>
        </w:tc>
        <w:tc>
          <w:tcPr>
            <w:tcW w:w="0" w:type="auto"/>
            <w:vMerge w:val="restart"/>
            <w:tcBorders>
              <w:top w:val="single" w:sz="4" w:space="0" w:color="000000"/>
              <w:left w:val="nil"/>
              <w:bottom w:val="single" w:sz="4" w:space="0" w:color="auto"/>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Обикновено при този процес не се налага отделяне на работниците.</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363"/>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Товарене на разпръсквачка</w:t>
            </w:r>
          </w:p>
        </w:tc>
        <w:tc>
          <w:tcPr>
            <w:tcW w:w="0" w:type="auto"/>
            <w:vMerge/>
            <w:tcBorders>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Третиране на почвата (разпръскване)</w:t>
            </w:r>
          </w:p>
        </w:tc>
        <w:tc>
          <w:tcPr>
            <w:tcW w:w="0" w:type="auto"/>
            <w:tcBorders>
              <w:top w:val="single" w:sz="4" w:space="0" w:color="auto"/>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 време на прилагането на препарата работникът седи в кабината на разпръсквачката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Кабина с филтриране на въздуха за дишане</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99%</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отделянията, дисперсията и експозицията</w:t>
            </w:r>
          </w:p>
        </w:tc>
      </w:tr>
      <w:tr w:rsidR="008D6E9B" w:rsidRPr="0070774F">
        <w:trPr>
          <w:trHeight w:val="882"/>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w:t>
            </w:r>
            <w:r>
              <w:rPr>
                <w:rFonts w:ascii="Arial" w:hAnsi="Arial" w:cs="Arial"/>
                <w:sz w:val="16"/>
                <w:szCs w:val="16"/>
                <w:lang w:val="bg-BG"/>
              </w:rPr>
              <w:t>яна. Не носете заразени дрехи в</w:t>
            </w:r>
            <w:r w:rsidRPr="00703017">
              <w:rPr>
                <w:rFonts w:ascii="Arial" w:hAnsi="Arial" w:cs="Arial"/>
                <w:sz w:val="16"/>
                <w:szCs w:val="16"/>
                <w:lang w:val="bg-BG"/>
              </w:rPr>
              <w:t>къщи. Не издухвайте праха с въздух под налягане.</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за лична защита, хигиена и оценка на здравето</w:t>
            </w:r>
          </w:p>
        </w:tc>
      </w:tr>
      <w:tr w:rsidR="008D6E9B" w:rsidRPr="0070774F">
        <w:trPr>
          <w:trHeight w:val="301"/>
          <w:jc w:val="center"/>
        </w:trPr>
        <w:tc>
          <w:tcPr>
            <w:tcW w:w="0" w:type="auto"/>
            <w:tcBorders>
              <w:top w:val="nil"/>
              <w:left w:val="single" w:sz="8" w:space="0" w:color="auto"/>
              <w:bottom w:val="single" w:sz="4" w:space="0" w:color="000000"/>
              <w:right w:val="single" w:sz="4" w:space="0" w:color="auto"/>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Задача</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D6E9B" w:rsidRPr="0070774F">
        <w:trPr>
          <w:trHeight w:val="790"/>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Смилане</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FFP3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APF=20</w:t>
            </w:r>
          </w:p>
        </w:tc>
        <w:tc>
          <w:tcPr>
            <w:tcW w:w="0" w:type="auto"/>
            <w:vMerge w:val="restart"/>
            <w:tcBorders>
              <w:top w:val="single" w:sz="4" w:space="0" w:color="000000"/>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w:t>
            </w:r>
            <w:r w:rsidRPr="0070774F">
              <w:rPr>
                <w:rFonts w:ascii="Arial" w:hAnsi="Arial" w:cs="Arial"/>
                <w:sz w:val="16"/>
                <w:szCs w:val="16"/>
                <w:lang w:val="bg-BG"/>
              </w:rPr>
              <w:t>като CaO</w:t>
            </w:r>
            <w:r w:rsidRPr="00703017">
              <w:rPr>
                <w:rFonts w:ascii="Arial" w:hAnsi="Arial" w:cs="Arial"/>
                <w:sz w:val="16"/>
                <w:szCs w:val="16"/>
                <w:lang w:val="bg-BG"/>
              </w:rPr>
              <w:t xml:space="preserve"> е класифицирано като дразнещо кожата, задължителна е употребата на защитни ръкавици на всички етапи на процеса.</w:t>
            </w:r>
          </w:p>
        </w:tc>
        <w:tc>
          <w:tcPr>
            <w:tcW w:w="0" w:type="auto"/>
            <w:vMerge w:val="restart"/>
            <w:tcBorders>
              <w:top w:val="single" w:sz="4" w:space="0" w:color="000000"/>
              <w:left w:val="single" w:sz="4" w:space="0" w:color="auto"/>
              <w:bottom w:val="single" w:sz="4" w:space="0" w:color="auto"/>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D6E9B" w:rsidRPr="00703017">
        <w:trPr>
          <w:trHeight w:val="79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Товарене на разпръсквачка</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FFP3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APF=20</w:t>
            </w:r>
          </w:p>
        </w:tc>
        <w:tc>
          <w:tcPr>
            <w:tcW w:w="0" w:type="auto"/>
            <w:vMerge/>
            <w:tcBorders>
              <w:top w:val="single" w:sz="4" w:space="0" w:color="auto"/>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tcBorders>
              <w:top w:val="single" w:sz="4" w:space="0" w:color="auto"/>
              <w:left w:val="single" w:sz="4" w:space="0" w:color="auto"/>
              <w:bottom w:val="single" w:sz="4" w:space="0" w:color="auto"/>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3017">
        <w:trPr>
          <w:trHeight w:val="79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Третиране на почвата (разпръскване)</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vMerge/>
            <w:tcBorders>
              <w:top w:val="single" w:sz="4" w:space="0" w:color="auto"/>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tcBorders>
              <w:top w:val="single" w:sz="4" w:space="0" w:color="auto"/>
              <w:left w:val="single" w:sz="4" w:space="0" w:color="auto"/>
              <w:bottom w:val="single" w:sz="4" w:space="0" w:color="auto"/>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454"/>
          <w:jc w:val="center"/>
        </w:trPr>
        <w:tc>
          <w:tcPr>
            <w:tcW w:w="0" w:type="auto"/>
            <w:gridSpan w:val="5"/>
            <w:tcBorders>
              <w:top w:val="nil"/>
              <w:left w:val="single" w:sz="8" w:space="0" w:color="auto"/>
              <w:bottom w:val="single" w:sz="8" w:space="0" w:color="auto"/>
              <w:right w:val="single" w:sz="8" w:space="0" w:color="auto"/>
            </w:tcBorders>
            <w:vAlign w:val="center"/>
          </w:tcPr>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D6E9B" w:rsidRPr="00703017" w:rsidRDefault="008D6E9B"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Общ преглед на APF на различните RPE (съгласно BS EN 529:2005) може да се намери в глосара на MEASE.</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495CFE">
            <w:pPr>
              <w:keepNext/>
              <w:spacing w:line="240" w:lineRule="auto"/>
              <w:ind w:left="476" w:hanging="476"/>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2.2 Контрол на експозицията за околната среда – отнася се само до защита на селскостопанската почва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cantSplit/>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p>
          <w:p w:rsidR="008D6E9B" w:rsidRPr="00703017" w:rsidRDefault="008D6E9B" w:rsidP="009D4C75">
            <w:pPr>
              <w:spacing w:line="240" w:lineRule="auto"/>
              <w:jc w:val="both"/>
              <w:rPr>
                <w:rFonts w:ascii="Arial" w:hAnsi="Arial" w:cs="Arial"/>
                <w:sz w:val="16"/>
                <w:szCs w:val="16"/>
                <w:highlight w:val="yellow"/>
                <w:lang w:val="bg-BG" w:eastAsia="de-DE"/>
              </w:rPr>
            </w:pPr>
          </w:p>
          <w:p w:rsidR="008D6E9B" w:rsidRPr="00703017" w:rsidRDefault="001D5CEE" w:rsidP="009D4C75">
            <w:pPr>
              <w:spacing w:line="240" w:lineRule="auto"/>
              <w:ind w:left="2880"/>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476625" cy="2705100"/>
                  <wp:effectExtent l="0" t="0" r="9525" b="0"/>
                  <wp:docPr id="19"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625" cy="2705100"/>
                          </a:xfrm>
                          <a:prstGeom prst="rect">
                            <a:avLst/>
                          </a:prstGeom>
                          <a:noFill/>
                          <a:ln>
                            <a:noFill/>
                          </a:ln>
                        </pic:spPr>
                      </pic:pic>
                    </a:graphicData>
                  </a:graphic>
                </wp:inline>
              </w:drawing>
            </w:r>
          </w:p>
          <w:p w:rsidR="008D6E9B" w:rsidRPr="00703017" w:rsidRDefault="008D6E9B" w:rsidP="009D4C75">
            <w:pPr>
              <w:spacing w:line="240" w:lineRule="auto"/>
              <w:ind w:left="2880"/>
              <w:jc w:val="both"/>
              <w:rPr>
                <w:rFonts w:ascii="Arial" w:hAnsi="Arial" w:cs="Arial"/>
                <w:sz w:val="16"/>
                <w:szCs w:val="16"/>
                <w:highlight w:val="yellow"/>
                <w:lang w:val="bg-BG" w:eastAsia="de-DE"/>
              </w:rPr>
            </w:pPr>
            <w:r w:rsidRPr="00703017">
              <w:rPr>
                <w:rFonts w:ascii="Arial" w:hAnsi="Arial" w:cs="Arial"/>
                <w:sz w:val="16"/>
                <w:szCs w:val="16"/>
                <w:lang w:val="bg-BG"/>
              </w:rPr>
              <w:t>(Фигурата е взета от: Laudet, A. et al., 1999)</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3017">
        <w:trPr>
          <w:trHeight w:val="301"/>
          <w:jc w:val="center"/>
        </w:trPr>
        <w:tc>
          <w:tcPr>
            <w:tcW w:w="0" w:type="auto"/>
            <w:tcBorders>
              <w:top w:val="nil"/>
              <w:left w:val="single" w:sz="8" w:space="0" w:color="auto"/>
              <w:right w:val="single" w:sz="4" w:space="0" w:color="auto"/>
            </w:tcBorders>
            <w:vAlign w:val="center"/>
          </w:tcPr>
          <w:p w:rsidR="008D6E9B" w:rsidRPr="0070774F" w:rsidRDefault="008D6E9B" w:rsidP="00B71C2F">
            <w:pPr>
              <w:keepNext/>
              <w:spacing w:line="240" w:lineRule="auto"/>
              <w:rPr>
                <w:rFonts w:ascii="Arial" w:hAnsi="Arial" w:cs="Arial"/>
                <w:sz w:val="16"/>
                <w:szCs w:val="16"/>
                <w:lang w:val="bg-BG" w:eastAsia="de-DE"/>
              </w:rPr>
            </w:pPr>
            <w:r w:rsidRPr="0070774F">
              <w:rPr>
                <w:rFonts w:ascii="Arial" w:hAnsi="Arial" w:cs="Arial"/>
                <w:sz w:val="16"/>
                <w:szCs w:val="16"/>
                <w:lang w:val="bg-BG"/>
              </w:rPr>
              <w:t>CaO</w:t>
            </w:r>
          </w:p>
        </w:tc>
        <w:tc>
          <w:tcPr>
            <w:tcW w:w="0" w:type="auto"/>
            <w:gridSpan w:val="4"/>
            <w:tcBorders>
              <w:top w:val="nil"/>
              <w:left w:val="nil"/>
              <w:bottom w:val="single" w:sz="4" w:space="0" w:color="auto"/>
              <w:right w:val="single" w:sz="8" w:space="0" w:color="auto"/>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fr-BE"/>
              </w:rPr>
              <w:t>1 700</w:t>
            </w:r>
            <w:r w:rsidRPr="0070774F">
              <w:rPr>
                <w:rFonts w:ascii="Arial" w:hAnsi="Arial" w:cs="Arial"/>
                <w:sz w:val="16"/>
                <w:szCs w:val="16"/>
                <w:lang w:val="bg-BG"/>
              </w:rPr>
              <w:t xml:space="preserve"> kg/ha</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774F" w:rsidRDefault="008D6E9B" w:rsidP="009D4C75">
            <w:pPr>
              <w:keepNext/>
              <w:spacing w:line="240" w:lineRule="auto"/>
              <w:jc w:val="both"/>
              <w:rPr>
                <w:rFonts w:ascii="Arial" w:hAnsi="Arial" w:cs="Arial"/>
                <w:b/>
                <w:bCs/>
                <w:color w:val="0000FF"/>
                <w:sz w:val="16"/>
                <w:szCs w:val="16"/>
                <w:lang w:val="bg-BG" w:eastAsia="de-DE"/>
              </w:rPr>
            </w:pPr>
            <w:r w:rsidRPr="0070774F">
              <w:rPr>
                <w:rFonts w:ascii="Arial" w:hAnsi="Arial" w:cs="Arial"/>
                <w:b/>
                <w:bCs/>
                <w:color w:val="0000FF"/>
                <w:sz w:val="16"/>
                <w:szCs w:val="16"/>
                <w:lang w:val="bg-BG"/>
              </w:rPr>
              <w:t>Честота и продължителност на употребата</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774F" w:rsidRDefault="008D6E9B" w:rsidP="0087484B">
            <w:pPr>
              <w:spacing w:line="240" w:lineRule="auto"/>
              <w:jc w:val="both"/>
              <w:rPr>
                <w:rFonts w:ascii="Arial" w:hAnsi="Arial" w:cs="Arial"/>
                <w:sz w:val="16"/>
                <w:szCs w:val="16"/>
                <w:lang w:val="bg-BG" w:eastAsia="de-DE"/>
              </w:rPr>
            </w:pPr>
            <w:r w:rsidRPr="0070774F">
              <w:rPr>
                <w:rFonts w:ascii="Arial" w:hAnsi="Arial" w:cs="Arial"/>
                <w:sz w:val="16"/>
                <w:szCs w:val="16"/>
                <w:lang w:val="bg-BG"/>
              </w:rPr>
              <w:t>1 ден/година (едно прилагане за една година). Позволено е многократно прилагане през годината, при положение че общото годишно количество от 1 700 kg/ha не се надхвърля (CaO)</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CCCCC"/>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Обем на повърхностните води: 300 L/m² </w:t>
            </w:r>
          </w:p>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Площ на повърхността: 1 ha</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3017">
        <w:trPr>
          <w:trHeight w:val="352"/>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Няма директни отделяния в прилежащите повърхностни води.</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намаляване или ограничаване на отделянията, емисиите във въздуха и почвата</w:t>
            </w:r>
          </w:p>
        </w:tc>
      </w:tr>
      <w:tr w:rsidR="008D6E9B" w:rsidRPr="00703017">
        <w:trPr>
          <w:trHeight w:val="362"/>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отделянето от обекта</w:t>
            </w:r>
          </w:p>
        </w:tc>
      </w:tr>
      <w:tr w:rsidR="008D6E9B" w:rsidRPr="00703017">
        <w:trPr>
          <w:trHeight w:val="52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В съответствие с изискванията на добрата селскостопанска практика, селскостопанската почва следва да се анализира, преди прилагането на вар и степента на прилагане трябва да се съобрази с резултатите от анализа.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495CFE">
            <w:pPr>
              <w:keepNext/>
              <w:spacing w:line="240" w:lineRule="auto"/>
              <w:ind w:left="392" w:hanging="378"/>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2.2 Контрол на експозицията за околната среда – отнася се само до третиране на почвата в гражданското строителство</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cantSplit/>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highlight w:val="yellow"/>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r w:rsidRPr="00703017">
              <w:rPr>
                <w:rFonts w:ascii="Arial" w:hAnsi="Arial" w:cs="Arial"/>
                <w:sz w:val="16"/>
                <w:szCs w:val="16"/>
                <w:highlight w:val="yellow"/>
                <w:lang w:val="bg-BG"/>
              </w:rPr>
              <w:t xml:space="preserve"> </w:t>
            </w:r>
          </w:p>
          <w:p w:rsidR="008D6E9B" w:rsidRPr="00703017" w:rsidRDefault="001D5CEE" w:rsidP="00F86E80">
            <w:pPr>
              <w:spacing w:line="240" w:lineRule="auto"/>
              <w:ind w:left="2832"/>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476625" cy="2705100"/>
                  <wp:effectExtent l="0" t="0" r="9525" b="0"/>
                  <wp:docPr id="20"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625" cy="2705100"/>
                          </a:xfrm>
                          <a:prstGeom prst="rect">
                            <a:avLst/>
                          </a:prstGeom>
                          <a:noFill/>
                          <a:ln>
                            <a:noFill/>
                          </a:ln>
                        </pic:spPr>
                      </pic:pic>
                    </a:graphicData>
                  </a:graphic>
                </wp:inline>
              </w:drawing>
            </w:r>
          </w:p>
          <w:p w:rsidR="008D6E9B" w:rsidRPr="00703017" w:rsidRDefault="008D6E9B" w:rsidP="009D4C75">
            <w:pPr>
              <w:spacing w:line="240" w:lineRule="auto"/>
              <w:ind w:left="2880"/>
              <w:jc w:val="both"/>
              <w:rPr>
                <w:rFonts w:ascii="Arial" w:hAnsi="Arial" w:cs="Arial"/>
                <w:sz w:val="16"/>
                <w:szCs w:val="16"/>
                <w:lang w:val="bg-BG" w:eastAsia="de-DE"/>
              </w:rPr>
            </w:pPr>
            <w:r w:rsidRPr="00703017">
              <w:rPr>
                <w:rFonts w:ascii="Arial" w:hAnsi="Arial" w:cs="Arial"/>
                <w:sz w:val="16"/>
                <w:szCs w:val="16"/>
                <w:lang w:val="bg-BG"/>
              </w:rPr>
              <w:t>(Фигурата е взета от: Laudet, A. et al., 1999)</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3017">
        <w:trPr>
          <w:trHeight w:val="301"/>
          <w:jc w:val="center"/>
        </w:trPr>
        <w:tc>
          <w:tcPr>
            <w:tcW w:w="0" w:type="auto"/>
            <w:tcBorders>
              <w:top w:val="nil"/>
              <w:left w:val="single" w:sz="8" w:space="0" w:color="auto"/>
              <w:right w:val="single" w:sz="4" w:space="0" w:color="auto"/>
            </w:tcBorders>
            <w:vAlign w:val="center"/>
          </w:tcPr>
          <w:p w:rsidR="008D6E9B" w:rsidRPr="0070774F" w:rsidRDefault="008D6E9B" w:rsidP="00B71C2F">
            <w:pPr>
              <w:keepNext/>
              <w:spacing w:line="240" w:lineRule="auto"/>
              <w:rPr>
                <w:rFonts w:ascii="Arial" w:hAnsi="Arial" w:cs="Arial"/>
                <w:sz w:val="16"/>
                <w:szCs w:val="16"/>
                <w:lang w:val="bg-BG" w:eastAsia="de-DE"/>
              </w:rPr>
            </w:pPr>
            <w:r w:rsidRPr="0070774F">
              <w:rPr>
                <w:rFonts w:ascii="Arial" w:hAnsi="Arial" w:cs="Arial"/>
                <w:sz w:val="16"/>
                <w:szCs w:val="16"/>
                <w:lang w:val="bg-BG"/>
              </w:rPr>
              <w:t>CaO</w:t>
            </w:r>
          </w:p>
        </w:tc>
        <w:tc>
          <w:tcPr>
            <w:tcW w:w="0" w:type="auto"/>
            <w:gridSpan w:val="4"/>
            <w:tcBorders>
              <w:top w:val="nil"/>
              <w:left w:val="nil"/>
              <w:bottom w:val="single" w:sz="4" w:space="0" w:color="auto"/>
              <w:right w:val="single" w:sz="8" w:space="0" w:color="auto"/>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fr-BE"/>
              </w:rPr>
              <w:t>180 000</w:t>
            </w:r>
            <w:r w:rsidRPr="0070774F">
              <w:rPr>
                <w:rFonts w:ascii="Arial" w:hAnsi="Arial" w:cs="Arial"/>
                <w:sz w:val="16"/>
                <w:szCs w:val="16"/>
                <w:lang w:val="bg-BG"/>
              </w:rPr>
              <w:t xml:space="preserve"> kg/ha</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774F" w:rsidRDefault="008D6E9B" w:rsidP="009D4C75">
            <w:pPr>
              <w:keepNext/>
              <w:spacing w:line="240" w:lineRule="auto"/>
              <w:jc w:val="both"/>
              <w:rPr>
                <w:rFonts w:ascii="Arial" w:hAnsi="Arial" w:cs="Arial"/>
                <w:b/>
                <w:bCs/>
                <w:color w:val="0000FF"/>
                <w:sz w:val="16"/>
                <w:szCs w:val="16"/>
                <w:lang w:val="bg-BG" w:eastAsia="de-DE"/>
              </w:rPr>
            </w:pPr>
            <w:r w:rsidRPr="0070774F">
              <w:rPr>
                <w:rFonts w:ascii="Arial" w:hAnsi="Arial" w:cs="Arial"/>
                <w:b/>
                <w:bCs/>
                <w:color w:val="0000FF"/>
                <w:sz w:val="16"/>
                <w:szCs w:val="16"/>
                <w:lang w:val="bg-BG"/>
              </w:rPr>
              <w:t>Честота и продължителност на употребата</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774F" w:rsidRDefault="008D6E9B" w:rsidP="0087484B">
            <w:pPr>
              <w:spacing w:line="240" w:lineRule="auto"/>
              <w:jc w:val="both"/>
              <w:rPr>
                <w:rFonts w:ascii="Arial" w:hAnsi="Arial" w:cs="Arial"/>
                <w:sz w:val="16"/>
                <w:szCs w:val="16"/>
                <w:lang w:val="bg-BG" w:eastAsia="de-DE"/>
              </w:rPr>
            </w:pPr>
            <w:r w:rsidRPr="0070774F">
              <w:rPr>
                <w:rFonts w:ascii="Arial" w:hAnsi="Arial" w:cs="Arial"/>
                <w:sz w:val="16"/>
                <w:szCs w:val="16"/>
                <w:lang w:val="bg-BG"/>
              </w:rPr>
              <w:t>1 ден/година и само веднъж в живота. Позволено е многократно прилагане през годината, при положение че общото годишно количество от 180 000 kg/ha не се надхвърля (CaO)</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CCCCC"/>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Площ на повърхността: 1 ha</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3017">
        <w:trPr>
          <w:trHeight w:val="52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Варта се прилага само към почвата в техносферата, преди построяването на пътища. Няма директни отделяния в прилежащите повърхностни води.</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D6E9B" w:rsidRPr="00703017">
        <w:trPr>
          <w:trHeight w:val="40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3. Оценка на експозицията и референция на източника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D6E9B" w:rsidRPr="0070774F">
        <w:trPr>
          <w:trHeight w:val="60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774F" w:rsidRDefault="008D6E9B" w:rsidP="009D4C75">
            <w:pPr>
              <w:keepNext/>
              <w:spacing w:line="240" w:lineRule="auto"/>
              <w:rPr>
                <w:rFonts w:ascii="Arial" w:hAnsi="Arial" w:cs="Arial"/>
                <w:sz w:val="16"/>
                <w:szCs w:val="16"/>
                <w:lang w:val="bg-BG" w:eastAsia="de-DE"/>
              </w:rPr>
            </w:pPr>
            <w:r w:rsidRPr="0070774F">
              <w:rPr>
                <w:rFonts w:ascii="Arial" w:hAnsi="Arial" w:cs="Arial"/>
                <w:sz w:val="16"/>
                <w:szCs w:val="16"/>
                <w:lang w:val="bg-BG"/>
              </w:rPr>
              <w:t>Измерените данни и оценките на експозиция според модела (MEASE) са използвани за оценка на експозицията при вдишване. Съотношението на характеризиране на риска (RCR) еотношение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е , основаващо се на DNEL за CaO 1 mg/m³ (като вдишан прах).</w:t>
            </w:r>
          </w:p>
        </w:tc>
      </w:tr>
      <w:tr w:rsidR="008D6E9B" w:rsidRPr="0070774F">
        <w:trPr>
          <w:trHeight w:val="679"/>
          <w:jc w:val="center"/>
        </w:trPr>
        <w:tc>
          <w:tcPr>
            <w:tcW w:w="0" w:type="auto"/>
            <w:tcBorders>
              <w:top w:val="single" w:sz="8" w:space="0" w:color="auto"/>
              <w:left w:val="single" w:sz="8" w:space="0" w:color="auto"/>
              <w:bottom w:val="single" w:sz="4" w:space="0" w:color="000000"/>
              <w:right w:val="single" w:sz="4" w:space="0" w:color="auto"/>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Задача</w:t>
            </w:r>
          </w:p>
        </w:tc>
        <w:tc>
          <w:tcPr>
            <w:tcW w:w="0" w:type="auto"/>
            <w:tcBorders>
              <w:top w:val="single" w:sz="8" w:space="0" w:color="auto"/>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Методология, използвана за оценка на експозицията при вдишване</w:t>
            </w:r>
          </w:p>
        </w:tc>
        <w:tc>
          <w:tcPr>
            <w:tcW w:w="0" w:type="auto"/>
            <w:tcBorders>
              <w:top w:val="single" w:sz="8" w:space="0" w:color="auto"/>
              <w:left w:val="nil"/>
              <w:bottom w:val="single" w:sz="4" w:space="0" w:color="auto"/>
              <w:right w:val="single" w:sz="4" w:space="0" w:color="auto"/>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на експозиция при вдишване (RCR)</w:t>
            </w:r>
          </w:p>
        </w:tc>
        <w:tc>
          <w:tcPr>
            <w:tcW w:w="0" w:type="auto"/>
            <w:tcBorders>
              <w:top w:val="single" w:sz="8" w:space="0" w:color="auto"/>
              <w:left w:val="nil"/>
              <w:bottom w:val="single" w:sz="4" w:space="0" w:color="auto"/>
              <w:right w:val="single" w:sz="4" w:space="0" w:color="auto"/>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Методология, използвана за оценка на дермалната експозиция</w:t>
            </w:r>
          </w:p>
        </w:tc>
        <w:tc>
          <w:tcPr>
            <w:tcW w:w="0" w:type="auto"/>
            <w:tcBorders>
              <w:top w:val="single" w:sz="8" w:space="0" w:color="auto"/>
              <w:left w:val="nil"/>
              <w:bottom w:val="single" w:sz="4" w:space="0" w:color="000000"/>
              <w:right w:val="single" w:sz="8" w:space="0" w:color="auto"/>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Оценка при дермална експозиция (RCR)</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Смилане</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0</w:t>
            </w:r>
            <w:r w:rsidRPr="0070774F">
              <w:rPr>
                <w:rFonts w:ascii="Arial" w:hAnsi="Arial" w:cs="Arial"/>
                <w:sz w:val="16"/>
                <w:szCs w:val="16"/>
                <w:lang w:val="de-DE"/>
              </w:rPr>
              <w:t>,</w:t>
            </w:r>
            <w:r w:rsidRPr="0070774F">
              <w:rPr>
                <w:rFonts w:ascii="Arial" w:hAnsi="Arial" w:cs="Arial"/>
                <w:sz w:val="16"/>
                <w:szCs w:val="16"/>
                <w:lang w:val="bg-BG"/>
              </w:rPr>
              <w:t>488 mg/m³ (0</w:t>
            </w:r>
            <w:r w:rsidRPr="0070774F">
              <w:rPr>
                <w:rFonts w:ascii="Arial" w:hAnsi="Arial" w:cs="Arial"/>
                <w:sz w:val="16"/>
                <w:szCs w:val="16"/>
                <w:lang w:val="de-DE"/>
              </w:rPr>
              <w:t>,</w:t>
            </w:r>
            <w:r w:rsidRPr="0070774F">
              <w:rPr>
                <w:rFonts w:ascii="Arial" w:hAnsi="Arial" w:cs="Arial"/>
                <w:sz w:val="16"/>
                <w:szCs w:val="16"/>
                <w:lang w:val="bg-BG"/>
              </w:rPr>
              <w:t>48)</w:t>
            </w:r>
          </w:p>
        </w:tc>
        <w:tc>
          <w:tcPr>
            <w:tcW w:w="0" w:type="auto"/>
            <w:gridSpan w:val="2"/>
            <w:vMerge w:val="restart"/>
            <w:tcBorders>
              <w:top w:val="single" w:sz="4" w:space="0" w:color="000000"/>
              <w:left w:val="nil"/>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Тъй като CaO се класифицира като дразнещо кожата, дермалната експозиция трябва да се минимализира до технически оправданото. Не е получен DNEL за дермалните ефекти. Така че дермалната експозиция не се оценява в този сценарий на експозиция.</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Товарене на разпръсквачка</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MEASE (PROC 8b)</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0</w:t>
            </w:r>
            <w:r w:rsidRPr="0070774F">
              <w:rPr>
                <w:rFonts w:ascii="Arial" w:hAnsi="Arial" w:cs="Arial"/>
                <w:sz w:val="16"/>
                <w:szCs w:val="16"/>
                <w:lang w:val="de-DE"/>
              </w:rPr>
              <w:t>,</w:t>
            </w:r>
            <w:r w:rsidRPr="0070774F">
              <w:rPr>
                <w:rFonts w:ascii="Arial" w:hAnsi="Arial" w:cs="Arial"/>
                <w:sz w:val="16"/>
                <w:szCs w:val="16"/>
                <w:lang w:val="bg-BG"/>
              </w:rPr>
              <w:t>488 mg/m³ (0</w:t>
            </w:r>
            <w:r w:rsidRPr="0070774F">
              <w:rPr>
                <w:rFonts w:ascii="Arial" w:hAnsi="Arial" w:cs="Arial"/>
                <w:sz w:val="16"/>
                <w:szCs w:val="16"/>
                <w:lang w:val="de-DE"/>
              </w:rPr>
              <w:t>,</w:t>
            </w:r>
            <w:r w:rsidRPr="0070774F">
              <w:rPr>
                <w:rFonts w:ascii="Arial" w:hAnsi="Arial" w:cs="Arial"/>
                <w:sz w:val="16"/>
                <w:szCs w:val="16"/>
                <w:lang w:val="bg-BG"/>
              </w:rPr>
              <w:t>48)</w:t>
            </w:r>
          </w:p>
        </w:tc>
        <w:tc>
          <w:tcPr>
            <w:tcW w:w="0" w:type="auto"/>
            <w:gridSpan w:val="2"/>
            <w:vMerge/>
            <w:tcBorders>
              <w:left w:val="nil"/>
              <w:right w:val="single" w:sz="8" w:space="0" w:color="000000"/>
            </w:tcBorders>
            <w:vAlign w:val="center"/>
          </w:tcPr>
          <w:p w:rsidR="008D6E9B" w:rsidRPr="0070774F" w:rsidRDefault="008D6E9B" w:rsidP="009D4C75">
            <w:pPr>
              <w:keepNext/>
              <w:jc w:val="center"/>
              <w:rPr>
                <w:rFonts w:ascii="Arial" w:hAnsi="Arial" w:cs="Arial"/>
                <w:sz w:val="16"/>
                <w:szCs w:val="16"/>
                <w:lang w:val="bg-BG" w:eastAsia="de-DE"/>
              </w:rPr>
            </w:pP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Третиране на почвата (разпръскване)</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измерени данни</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0</w:t>
            </w:r>
            <w:r w:rsidRPr="0070774F">
              <w:rPr>
                <w:rFonts w:ascii="Arial" w:hAnsi="Arial" w:cs="Arial"/>
                <w:sz w:val="16"/>
                <w:szCs w:val="16"/>
                <w:lang w:val="de-DE"/>
              </w:rPr>
              <w:t>,</w:t>
            </w:r>
            <w:r w:rsidRPr="0070774F">
              <w:rPr>
                <w:rFonts w:ascii="Arial" w:hAnsi="Arial" w:cs="Arial"/>
                <w:sz w:val="16"/>
                <w:szCs w:val="16"/>
                <w:lang w:val="bg-BG"/>
              </w:rPr>
              <w:t>880 mg/m³ (0</w:t>
            </w:r>
            <w:r w:rsidRPr="0070774F">
              <w:rPr>
                <w:rFonts w:ascii="Arial" w:hAnsi="Arial" w:cs="Arial"/>
                <w:sz w:val="16"/>
                <w:szCs w:val="16"/>
                <w:lang w:val="de-DE"/>
              </w:rPr>
              <w:t>,</w:t>
            </w:r>
            <w:r w:rsidRPr="0070774F">
              <w:rPr>
                <w:rFonts w:ascii="Arial" w:hAnsi="Arial" w:cs="Arial"/>
                <w:sz w:val="16"/>
                <w:szCs w:val="16"/>
                <w:lang w:val="bg-BG"/>
              </w:rPr>
              <w:t>88)</w:t>
            </w:r>
          </w:p>
        </w:tc>
        <w:tc>
          <w:tcPr>
            <w:tcW w:w="0" w:type="auto"/>
            <w:gridSpan w:val="2"/>
            <w:vMerge/>
            <w:tcBorders>
              <w:left w:val="nil"/>
              <w:right w:val="single" w:sz="8" w:space="0" w:color="000000"/>
            </w:tcBorders>
            <w:vAlign w:val="center"/>
          </w:tcPr>
          <w:p w:rsidR="008D6E9B" w:rsidRPr="0070774F" w:rsidRDefault="008D6E9B" w:rsidP="009D4C75">
            <w:pPr>
              <w:keepNext/>
              <w:jc w:val="center"/>
              <w:rPr>
                <w:rFonts w:ascii="Arial" w:hAnsi="Arial" w:cs="Arial"/>
                <w:sz w:val="16"/>
                <w:szCs w:val="16"/>
                <w:lang w:val="bg-BG" w:eastAsia="de-DE"/>
              </w:rPr>
            </w:pP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774F" w:rsidRDefault="008D6E9B" w:rsidP="009D4C75">
            <w:pPr>
              <w:keepNext/>
              <w:spacing w:line="240" w:lineRule="auto"/>
              <w:jc w:val="both"/>
              <w:rPr>
                <w:rFonts w:ascii="Arial" w:hAnsi="Arial" w:cs="Arial"/>
                <w:b/>
                <w:bCs/>
                <w:color w:val="0000FF"/>
                <w:sz w:val="16"/>
                <w:szCs w:val="16"/>
                <w:lang w:val="bg-BG" w:eastAsia="de-DE"/>
              </w:rPr>
            </w:pPr>
            <w:r w:rsidRPr="0070774F">
              <w:rPr>
                <w:rFonts w:ascii="Arial" w:hAnsi="Arial" w:cs="Arial"/>
                <w:b/>
                <w:bCs/>
                <w:color w:val="0000FF"/>
                <w:sz w:val="16"/>
                <w:szCs w:val="16"/>
                <w:lang w:val="bg-BG"/>
              </w:rPr>
              <w:t>Експозицията за околната среда за целите на защита на селскостопанската почва</w:t>
            </w:r>
          </w:p>
        </w:tc>
      </w:tr>
      <w:tr w:rsidR="008D6E9B" w:rsidRPr="0070774F">
        <w:trPr>
          <w:cantSplit/>
          <w:trHeight w:val="301"/>
          <w:jc w:val="center"/>
        </w:trPr>
        <w:tc>
          <w:tcPr>
            <w:tcW w:w="0" w:type="auto"/>
            <w:gridSpan w:val="5"/>
            <w:tcBorders>
              <w:top w:val="nil"/>
              <w:left w:val="single" w:sz="8" w:space="0" w:color="auto"/>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Изчислението PEC за подпочвените и повърхностните води се основава на групата почви FOCUS (FOCUS, 1996) и на проекто-ръководството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(Kloskowksi et al.,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биоцидни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 веднъж приложено към почвата, CaO може действително да мигрира към повърхностните води, чрез дрейфа.</w:t>
            </w:r>
          </w:p>
        </w:tc>
      </w:tr>
      <w:tr w:rsidR="008D6E9B" w:rsidRPr="00703017">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both"/>
              <w:rPr>
                <w:rFonts w:ascii="Arial" w:hAnsi="Arial" w:cs="Arial"/>
                <w:sz w:val="16"/>
                <w:szCs w:val="16"/>
                <w:lang w:val="bg-BG" w:eastAsia="de-DE"/>
              </w:rPr>
            </w:pPr>
            <w:r w:rsidRPr="0070774F">
              <w:rPr>
                <w:rFonts w:ascii="Arial" w:hAnsi="Arial" w:cs="Arial"/>
                <w:sz w:val="16"/>
                <w:szCs w:val="16"/>
                <w:lang w:val="bg-BG"/>
              </w:rPr>
              <w:t>Вижте използваните количества</w:t>
            </w:r>
          </w:p>
        </w:tc>
      </w:tr>
      <w:tr w:rsidR="008D6E9B" w:rsidRPr="0070774F">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both"/>
              <w:rPr>
                <w:rFonts w:ascii="Arial" w:hAnsi="Arial" w:cs="Arial"/>
                <w:sz w:val="16"/>
                <w:szCs w:val="16"/>
                <w:lang w:val="bg-BG" w:eastAsia="de-DE"/>
              </w:rPr>
            </w:pPr>
            <w:r w:rsidRPr="0070774F">
              <w:rPr>
                <w:rFonts w:ascii="Arial" w:hAnsi="Arial" w:cs="Arial"/>
                <w:sz w:val="16"/>
                <w:szCs w:val="16"/>
                <w:lang w:val="bg-BG"/>
              </w:rPr>
              <w:t>Ирелевантно за защита на селскостопанската почва</w:t>
            </w:r>
          </w:p>
        </w:tc>
      </w:tr>
      <w:tr w:rsidR="008D6E9B" w:rsidRPr="00703017">
        <w:trPr>
          <w:cantSplit/>
          <w:trHeight w:val="252"/>
          <w:jc w:val="center"/>
        </w:trPr>
        <w:tc>
          <w:tcPr>
            <w:tcW w:w="0" w:type="auto"/>
            <w:vMerge w:val="restart"/>
            <w:tcBorders>
              <w:top w:val="single" w:sz="4" w:space="0" w:color="000000"/>
              <w:left w:val="single" w:sz="8" w:space="0" w:color="auto"/>
              <w:bottom w:val="single" w:sz="4" w:space="0" w:color="auto"/>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водно-пелагична камера</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PEC (ug/L)</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PNEC (ug/L)</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RCR</w:t>
            </w:r>
          </w:p>
        </w:tc>
      </w:tr>
      <w:tr w:rsidR="008D6E9B" w:rsidRPr="00703017">
        <w:trPr>
          <w:cantSplit/>
          <w:trHeight w:val="252"/>
          <w:jc w:val="center"/>
        </w:trPr>
        <w:tc>
          <w:tcPr>
            <w:tcW w:w="0" w:type="auto"/>
            <w:vMerge/>
            <w:tcBorders>
              <w:top w:val="single" w:sz="4" w:space="0" w:color="auto"/>
              <w:left w:val="single" w:sz="8" w:space="0" w:color="auto"/>
              <w:bottom w:val="single" w:sz="4" w:space="0" w:color="auto"/>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CaO</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fr-BE" w:eastAsia="de-DE"/>
              </w:rPr>
            </w:pPr>
            <w:r w:rsidRPr="0070774F">
              <w:rPr>
                <w:rFonts w:ascii="Arial" w:hAnsi="Arial" w:cs="Arial"/>
                <w:sz w:val="16"/>
                <w:szCs w:val="16"/>
                <w:lang w:val="fr-BE"/>
              </w:rPr>
              <w:t>5,66</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fr-BE" w:eastAsia="de-DE"/>
              </w:rPr>
            </w:pPr>
            <w:r w:rsidRPr="0070774F">
              <w:rPr>
                <w:rFonts w:ascii="Arial" w:hAnsi="Arial" w:cs="Arial"/>
                <w:sz w:val="16"/>
                <w:szCs w:val="16"/>
                <w:lang w:val="fr-BE"/>
              </w:rPr>
              <w:t>370</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0</w:t>
            </w:r>
            <w:r w:rsidRPr="0070774F">
              <w:rPr>
                <w:rFonts w:ascii="Arial" w:hAnsi="Arial" w:cs="Arial"/>
                <w:sz w:val="16"/>
                <w:szCs w:val="16"/>
                <w:lang w:val="de-DE"/>
              </w:rPr>
              <w:t>,</w:t>
            </w:r>
            <w:r w:rsidRPr="0070774F">
              <w:rPr>
                <w:rFonts w:ascii="Arial" w:hAnsi="Arial" w:cs="Arial"/>
                <w:sz w:val="16"/>
                <w:szCs w:val="16"/>
                <w:lang w:val="bg-BG"/>
              </w:rPr>
              <w:t>015</w:t>
            </w:r>
          </w:p>
        </w:tc>
      </w:tr>
      <w:tr w:rsidR="008D6E9B" w:rsidRPr="0070774F">
        <w:trPr>
          <w:cantSplit/>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4"/>
            <w:tcBorders>
              <w:top w:val="single" w:sz="8" w:space="0" w:color="000000"/>
              <w:left w:val="nil"/>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Както беше описано по-горе, не се очаква експозиция на повърхностните води, нито на седиментите. Нещо повече, в естествените води хидроксидните йони влизат в реакция с HCO3–, в резултат на която се получава вода и CO32-. CO32- поражда CaCO3 чрез реакция с Ca2+. Калциевият карбонат се утаява и се отлага като седимент. Калциевият карбонат е слабо разтворим и е съставна част на естествената почва.</w:t>
            </w:r>
          </w:p>
        </w:tc>
      </w:tr>
      <w:tr w:rsidR="008D6E9B" w:rsidRPr="00703017">
        <w:trPr>
          <w:cantSplit/>
          <w:trHeight w:val="66"/>
          <w:jc w:val="center"/>
        </w:trPr>
        <w:tc>
          <w:tcPr>
            <w:tcW w:w="0" w:type="auto"/>
            <w:vMerge w:val="restart"/>
            <w:tcBorders>
              <w:top w:val="single" w:sz="4" w:space="0" w:color="000000"/>
              <w:left w:val="single" w:sz="8" w:space="0" w:color="auto"/>
              <w:right w:val="single" w:sz="4" w:space="0" w:color="000000"/>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PEC (mg/L)</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PNEC (mg/L)</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b/>
                <w:bCs/>
                <w:sz w:val="16"/>
                <w:szCs w:val="16"/>
                <w:lang w:val="bg-BG" w:eastAsia="de-DE"/>
              </w:rPr>
            </w:pPr>
            <w:r w:rsidRPr="0070774F">
              <w:rPr>
                <w:rFonts w:ascii="Arial" w:hAnsi="Arial" w:cs="Arial"/>
                <w:b/>
                <w:bCs/>
                <w:sz w:val="16"/>
                <w:szCs w:val="16"/>
                <w:lang w:val="bg-BG"/>
              </w:rPr>
              <w:t>RCR</w:t>
            </w:r>
          </w:p>
        </w:tc>
      </w:tr>
      <w:tr w:rsidR="008D6E9B" w:rsidRPr="00703017">
        <w:trPr>
          <w:cantSplit/>
          <w:trHeight w:val="266"/>
          <w:jc w:val="center"/>
        </w:trPr>
        <w:tc>
          <w:tcPr>
            <w:tcW w:w="0" w:type="auto"/>
            <w:vMerge/>
            <w:tcBorders>
              <w:top w:val="single" w:sz="4" w:space="0" w:color="auto"/>
              <w:left w:val="single" w:sz="8" w:space="0" w:color="auto"/>
              <w:right w:val="single" w:sz="4" w:space="0" w:color="000000"/>
            </w:tcBorders>
            <w:vAlign w:val="center"/>
          </w:tcPr>
          <w:p w:rsidR="008D6E9B" w:rsidRPr="00703017" w:rsidRDefault="008D6E9B" w:rsidP="009D4C75">
            <w:pPr>
              <w:keepNext/>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CaO</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fr-BE"/>
              </w:rPr>
              <w:t>50</w:t>
            </w:r>
            <w:r w:rsidRPr="0070774F">
              <w:rPr>
                <w:rFonts w:ascii="Arial" w:hAnsi="Arial" w:cs="Arial"/>
                <w:sz w:val="16"/>
                <w:szCs w:val="16"/>
                <w:lang w:val="bg-BG"/>
              </w:rPr>
              <w:t>0</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fr-BE" w:eastAsia="de-DE"/>
              </w:rPr>
            </w:pPr>
            <w:r w:rsidRPr="0070774F">
              <w:rPr>
                <w:rFonts w:ascii="Arial" w:hAnsi="Arial" w:cs="Arial"/>
                <w:sz w:val="16"/>
                <w:szCs w:val="16"/>
                <w:lang w:val="fr-BE"/>
              </w:rPr>
              <w:t>816</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0</w:t>
            </w:r>
            <w:r w:rsidRPr="0070774F">
              <w:rPr>
                <w:rFonts w:ascii="Arial" w:hAnsi="Arial" w:cs="Arial"/>
                <w:sz w:val="16"/>
                <w:szCs w:val="16"/>
                <w:lang w:val="de-DE"/>
              </w:rPr>
              <w:t>,</w:t>
            </w:r>
            <w:r w:rsidRPr="0070774F">
              <w:rPr>
                <w:rFonts w:ascii="Arial" w:hAnsi="Arial" w:cs="Arial"/>
                <w:sz w:val="16"/>
                <w:szCs w:val="16"/>
                <w:lang w:val="bg-BG"/>
              </w:rPr>
              <w:t>61</w:t>
            </w:r>
          </w:p>
        </w:tc>
      </w:tr>
      <w:tr w:rsidR="008D6E9B" w:rsidRPr="0070774F">
        <w:trPr>
          <w:cantSplit/>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774F" w:rsidRDefault="008D6E9B" w:rsidP="00220CA1">
            <w:pPr>
              <w:spacing w:line="240" w:lineRule="auto"/>
              <w:rPr>
                <w:rFonts w:ascii="Arial" w:hAnsi="Arial" w:cs="Arial"/>
                <w:sz w:val="16"/>
                <w:szCs w:val="16"/>
                <w:lang w:val="bg-BG" w:eastAsia="de-DE"/>
              </w:rPr>
            </w:pPr>
            <w:r w:rsidRPr="0070774F">
              <w:rPr>
                <w:rFonts w:ascii="Arial" w:hAnsi="Arial" w:cs="Arial"/>
                <w:sz w:val="16"/>
                <w:szCs w:val="16"/>
                <w:lang w:val="bg-BG"/>
              </w:rPr>
              <w:t>Тази точка е ирелевантна. CaO не е летливо. Парното налягане е под 10</w:t>
            </w:r>
            <w:r w:rsidRPr="0070774F">
              <w:rPr>
                <w:rFonts w:ascii="Arial" w:hAnsi="Arial" w:cs="Arial"/>
                <w:sz w:val="16"/>
                <w:szCs w:val="16"/>
                <w:vertAlign w:val="superscript"/>
                <w:lang w:val="bg-BG"/>
              </w:rPr>
              <w:t>–5</w:t>
            </w:r>
            <w:r w:rsidRPr="0070774F">
              <w:rPr>
                <w:rFonts w:ascii="Arial" w:hAnsi="Arial" w:cs="Arial"/>
                <w:sz w:val="16"/>
                <w:szCs w:val="16"/>
                <w:lang w:val="bg-BG"/>
              </w:rPr>
              <w:t xml:space="preserve"> Pa.</w:t>
            </w:r>
          </w:p>
        </w:tc>
      </w:tr>
      <w:tr w:rsidR="008D6E9B" w:rsidRPr="0070774F">
        <w:trPr>
          <w:cantSplit/>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 понеже калцият може да се приеме за присъстващ навсякъде и основен елемент на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Експозицията за околната среда – третиране на почвата в гражданското строителство</w:t>
            </w:r>
          </w:p>
        </w:tc>
      </w:tr>
      <w:tr w:rsidR="008D6E9B" w:rsidRPr="0070774F">
        <w:trPr>
          <w:cantSplit/>
          <w:trHeight w:val="301"/>
          <w:jc w:val="center"/>
        </w:trPr>
        <w:tc>
          <w:tcPr>
            <w:tcW w:w="0" w:type="auto"/>
            <w:gridSpan w:val="5"/>
            <w:tcBorders>
              <w:top w:val="nil"/>
              <w:left w:val="single" w:sz="8" w:space="0" w:color="auto"/>
              <w:bottom w:val="single" w:sz="4"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Сценарият за третиране на почвата в гражданското строителство се основава на сценария за границата на пътя. На специална техническа среща за границата на пътя (Испра, 5 септември 2003 г.), Страните-членки на ЕС и представителите на бранша приеха дефиниция за </w:t>
            </w:r>
            <w:r>
              <w:rPr>
                <w:rFonts w:ascii="Arial" w:hAnsi="Arial" w:cs="Arial"/>
                <w:sz w:val="16"/>
                <w:szCs w:val="16"/>
                <w:lang w:val="bg-BG"/>
              </w:rPr>
              <w:t>„</w:t>
            </w:r>
            <w:r w:rsidRPr="00703017">
              <w:rPr>
                <w:rFonts w:ascii="Arial" w:hAnsi="Arial" w:cs="Arial"/>
                <w:sz w:val="16"/>
                <w:szCs w:val="16"/>
                <w:lang w:val="bg-BG"/>
              </w:rPr>
              <w:t>техносферата на пътя</w:t>
            </w:r>
            <w:r w:rsidRPr="00B94FEE">
              <w:rPr>
                <w:rFonts w:ascii="Arial" w:hAnsi="Arial" w:cs="Arial"/>
                <w:sz w:val="16"/>
                <w:szCs w:val="16"/>
                <w:lang w:val="bg-BG"/>
              </w:rPr>
              <w:t>“</w:t>
            </w:r>
            <w:r w:rsidRPr="00703017">
              <w:rPr>
                <w:rFonts w:ascii="Arial" w:hAnsi="Arial" w:cs="Arial"/>
                <w:sz w:val="16"/>
                <w:szCs w:val="16"/>
                <w:lang w:val="bg-BG"/>
              </w:rPr>
              <w:t xml:space="preserve">. Техносферата на пътя може да се определи като </w:t>
            </w:r>
            <w:r>
              <w:rPr>
                <w:rFonts w:ascii="Arial" w:hAnsi="Arial" w:cs="Arial"/>
                <w:sz w:val="16"/>
                <w:szCs w:val="16"/>
                <w:lang w:val="bg-BG"/>
              </w:rPr>
              <w:t>„</w:t>
            </w:r>
            <w:r w:rsidRPr="00703017">
              <w:rPr>
                <w:rFonts w:ascii="Arial" w:hAnsi="Arial" w:cs="Arial"/>
                <w:sz w:val="16"/>
                <w:szCs w:val="16"/>
                <w:lang w:val="bg-BG"/>
              </w:rPr>
              <w:t>инженерната среда, която изпълнява геотехническите функции на пътя във връзка с неговата конструкция, експлоатация и поддръжка, вкл. инсталациите за осигуряване на неговата безопасност и управление на оттичащите се води. Тази техно сфера, която включва твърдия и мекия банкет на пътя, вертикално се определя от водоносния хоризонт. Пътните власти носят отговорността за тази пътна техносфера, в т.ч. и за пътната безопасност, укрепването на пътя, предотвратяване на замърсяването и управление на водите</w:t>
            </w:r>
            <w:r>
              <w:rPr>
                <w:rFonts w:ascii="Arial" w:hAnsi="Arial" w:cs="Arial"/>
                <w:sz w:val="16"/>
                <w:szCs w:val="16"/>
                <w:lang w:val="bg-BG"/>
              </w:rPr>
              <w:t>“</w:t>
            </w:r>
            <w:r w:rsidRPr="00703017">
              <w:rPr>
                <w:rFonts w:ascii="Arial" w:hAnsi="Arial" w:cs="Arial"/>
                <w:sz w:val="16"/>
                <w:szCs w:val="16"/>
                <w:lang w:val="bg-BG"/>
              </w:rPr>
              <w:t>. Следователно пътната техносфера е изключена от крайната оценка на риска за целите на съществуващите/новите разпоредби за веществата. Таргет зоната е зоната извън техносферата, за която се отнася оценката на риска за околната среда.</w:t>
            </w:r>
          </w:p>
          <w:p w:rsidR="008D6E9B" w:rsidRPr="00703017" w:rsidRDefault="008D6E9B" w:rsidP="009D4C75">
            <w:pPr>
              <w:spacing w:line="240" w:lineRule="auto"/>
              <w:rPr>
                <w:rFonts w:ascii="Arial" w:hAnsi="Arial" w:cs="Arial"/>
                <w:sz w:val="16"/>
                <w:szCs w:val="16"/>
                <w:lang w:val="bg-BG" w:eastAsia="de-DE"/>
              </w:rPr>
            </w:pPr>
          </w:p>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Изчислението PEC за почвите се основава на групата почви FOCUS (FOCUS, 1996) и на проекто-ръководството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(Kloskowksi et al.,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биоцидни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Вижте използваните количества</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D6E9B" w:rsidRPr="0070774F">
        <w:trPr>
          <w:trHeight w:val="681"/>
          <w:jc w:val="center"/>
        </w:trPr>
        <w:tc>
          <w:tcPr>
            <w:tcW w:w="0" w:type="auto"/>
            <w:tcBorders>
              <w:top w:val="single" w:sz="4" w:space="0" w:color="000000"/>
              <w:left w:val="single" w:sz="8" w:space="0" w:color="auto"/>
              <w:bottom w:val="single" w:sz="4" w:space="0" w:color="auto"/>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водно-пелагична камера</w:t>
            </w:r>
          </w:p>
        </w:tc>
        <w:tc>
          <w:tcPr>
            <w:tcW w:w="0" w:type="auto"/>
            <w:gridSpan w:val="4"/>
            <w:tcBorders>
              <w:top w:val="single" w:sz="4" w:space="0" w:color="000000"/>
              <w:left w:val="nil"/>
              <w:right w:val="single" w:sz="8" w:space="0" w:color="000000"/>
            </w:tcBorders>
            <w:vAlign w:val="center"/>
          </w:tcPr>
          <w:p w:rsidR="008D6E9B" w:rsidRPr="00703017" w:rsidRDefault="008D6E9B" w:rsidP="009D4C75">
            <w:pPr>
              <w:spacing w:line="240" w:lineRule="auto"/>
              <w:jc w:val="both"/>
              <w:rPr>
                <w:rFonts w:ascii="Arial" w:hAnsi="Arial" w:cs="Arial"/>
                <w:b/>
                <w:bCs/>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D6E9B" w:rsidRPr="0070774F">
        <w:trPr>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D6E9B" w:rsidRPr="00703017">
        <w:trPr>
          <w:trHeight w:val="286"/>
          <w:jc w:val="center"/>
        </w:trPr>
        <w:tc>
          <w:tcPr>
            <w:tcW w:w="0" w:type="auto"/>
            <w:vMerge w:val="restart"/>
            <w:tcBorders>
              <w:top w:val="single" w:sz="4" w:space="0" w:color="000000"/>
              <w:left w:val="single" w:sz="8" w:space="0" w:color="auto"/>
              <w:bottom w:val="single" w:sz="4" w:space="0" w:color="auto"/>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(mg/L)</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(mg/L)</w:t>
            </w:r>
          </w:p>
        </w:tc>
        <w:tc>
          <w:tcPr>
            <w:tcW w:w="0" w:type="auto"/>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D6E9B" w:rsidRPr="00703017">
        <w:trPr>
          <w:trHeight w:val="266"/>
          <w:jc w:val="center"/>
        </w:trPr>
        <w:tc>
          <w:tcPr>
            <w:tcW w:w="0" w:type="auto"/>
            <w:vMerge/>
            <w:tcBorders>
              <w:top w:val="single" w:sz="4" w:space="0" w:color="auto"/>
              <w:left w:val="single" w:sz="8" w:space="0" w:color="auto"/>
              <w:bottom w:val="single" w:sz="4" w:space="0" w:color="auto"/>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CaO</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fr-BE" w:eastAsia="de-DE"/>
              </w:rPr>
            </w:pPr>
            <w:r w:rsidRPr="0070774F">
              <w:rPr>
                <w:rFonts w:ascii="Arial" w:hAnsi="Arial" w:cs="Arial"/>
                <w:sz w:val="16"/>
                <w:szCs w:val="16"/>
                <w:lang w:val="fr-BE"/>
              </w:rPr>
              <w:t>529</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fr-BE" w:eastAsia="de-DE"/>
              </w:rPr>
            </w:pPr>
            <w:r w:rsidRPr="0070774F">
              <w:rPr>
                <w:rFonts w:ascii="Arial" w:hAnsi="Arial" w:cs="Arial"/>
                <w:sz w:val="16"/>
                <w:szCs w:val="16"/>
                <w:lang w:val="fr-BE"/>
              </w:rPr>
              <w:t>816</w:t>
            </w:r>
          </w:p>
        </w:tc>
        <w:tc>
          <w:tcPr>
            <w:tcW w:w="0" w:type="auto"/>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jc w:val="center"/>
              <w:rPr>
                <w:rFonts w:ascii="Arial" w:hAnsi="Arial" w:cs="Arial"/>
                <w:sz w:val="16"/>
                <w:szCs w:val="16"/>
                <w:lang w:val="bg-BG" w:eastAsia="de-DE"/>
              </w:rPr>
            </w:pPr>
            <w:r w:rsidRPr="0070774F">
              <w:rPr>
                <w:rFonts w:ascii="Arial" w:hAnsi="Arial" w:cs="Arial"/>
                <w:sz w:val="16"/>
                <w:szCs w:val="16"/>
                <w:lang w:val="bg-BG"/>
              </w:rPr>
              <w:t>0</w:t>
            </w:r>
            <w:r w:rsidRPr="0070774F">
              <w:rPr>
                <w:rFonts w:ascii="Arial" w:hAnsi="Arial" w:cs="Arial"/>
                <w:sz w:val="16"/>
                <w:szCs w:val="16"/>
                <w:lang w:val="de-DE"/>
              </w:rPr>
              <w:t>,</w:t>
            </w:r>
            <w:r w:rsidRPr="0070774F">
              <w:rPr>
                <w:rFonts w:ascii="Arial" w:hAnsi="Arial" w:cs="Arial"/>
                <w:sz w:val="16"/>
                <w:szCs w:val="16"/>
                <w:lang w:val="bg-BG"/>
              </w:rPr>
              <w:t>65</w:t>
            </w:r>
          </w:p>
        </w:tc>
      </w:tr>
      <w:tr w:rsidR="008D6E9B" w:rsidRPr="0070774F">
        <w:trPr>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774F" w:rsidRDefault="008D6E9B" w:rsidP="009D4C75">
            <w:pPr>
              <w:spacing w:line="240" w:lineRule="auto"/>
              <w:rPr>
                <w:rFonts w:ascii="Arial" w:hAnsi="Arial" w:cs="Arial"/>
                <w:sz w:val="16"/>
                <w:szCs w:val="16"/>
                <w:lang w:val="bg-BG" w:eastAsia="de-DE"/>
              </w:rPr>
            </w:pPr>
            <w:r w:rsidRPr="0070774F">
              <w:rPr>
                <w:rFonts w:ascii="Arial" w:hAnsi="Arial" w:cs="Arial"/>
                <w:sz w:val="16"/>
                <w:szCs w:val="16"/>
                <w:lang w:val="bg-BG"/>
              </w:rPr>
              <w:t>Тази точка е ирелевантна. CaO не е летливо. Парното налягане е под 10</w:t>
            </w:r>
            <w:r w:rsidRPr="0070774F">
              <w:rPr>
                <w:rFonts w:ascii="Arial" w:hAnsi="Arial" w:cs="Arial"/>
                <w:sz w:val="16"/>
                <w:szCs w:val="16"/>
                <w:vertAlign w:val="superscript"/>
                <w:lang w:val="bg-BG"/>
              </w:rPr>
              <w:t>–5</w:t>
            </w:r>
            <w:r w:rsidRPr="0070774F">
              <w:rPr>
                <w:rFonts w:ascii="Arial" w:hAnsi="Arial" w:cs="Arial"/>
                <w:sz w:val="16"/>
                <w:szCs w:val="16"/>
                <w:lang w:val="bg-BG"/>
              </w:rPr>
              <w:t xml:space="preserve"> Pa.</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 понеже калцият може да се приеме за присъстващ навсякъде и основен елемент на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 при други начини на употреба</w:t>
            </w:r>
          </w:p>
        </w:tc>
      </w:tr>
      <w:tr w:rsidR="008D6E9B" w:rsidRPr="0070774F">
        <w:trPr>
          <w:cantSplit/>
          <w:trHeight w:val="301"/>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За всички други начини на употреба не се извършва количествена оценка на експозицията за околната среда, понеже</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Работни условия и мерките за управление на риска не са толкова строги, както при защита на селскостопанската почва или третирането на почвата при гражданското строителство</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Варта е ингредиент и химически е свързана в матрица. Отделянията са незначителни и недостатъчни да предизвикат промяна на pH в почвата, отходните и повърхностните води</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Варта се използва специално за отделяне на свободен от CO2 въздух за дишане, при реакция с CO2. Този начин на употреба се отнася само до въздушния компонент на околната среда, където се използват характеристиките на варта </w:t>
            </w:r>
          </w:p>
          <w:p w:rsidR="008D6E9B" w:rsidRPr="00703017" w:rsidRDefault="008D6E9B"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Неутрализацията/промяната на pH е целта на процеса и не се наблюдават допълнителни, нежелателни въздействия. </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 xml:space="preserve">4. Ръководство за </w:t>
            </w:r>
            <w:r>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D6E9B" w:rsidRPr="0070774F">
        <w:trPr>
          <w:cantSplit/>
          <w:trHeight w:val="1310"/>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дермалната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скалиращ инструмент, като MEASE (</w:t>
            </w:r>
            <w:hyperlink r:id="rId38"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глосара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вещества със запрашен</w:t>
            </w:r>
            <w:r>
              <w:rPr>
                <w:rFonts w:ascii="Arial" w:hAnsi="Arial" w:cs="Arial"/>
                <w:sz w:val="16"/>
                <w:szCs w:val="16"/>
                <w:lang w:val="bg-BG"/>
              </w:rPr>
              <w:t>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D6E9B" w:rsidRPr="00703017" w:rsidRDefault="008D6E9B" w:rsidP="009D4C75">
            <w:pPr>
              <w:spacing w:before="60" w:after="60" w:line="240" w:lineRule="auto"/>
              <w:rPr>
                <w:rFonts w:ascii="Arial" w:hAnsi="Arial" w:cs="Arial"/>
                <w:sz w:val="20"/>
                <w:szCs w:val="20"/>
                <w:lang w:val="bg-BG" w:eastAsia="de-DE"/>
              </w:rPr>
            </w:pPr>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r w:rsidRPr="00703017">
              <w:rPr>
                <w:rFonts w:ascii="Arial" w:hAnsi="Arial" w:cs="Arial"/>
                <w:sz w:val="20"/>
                <w:szCs w:val="20"/>
                <w:lang w:val="bg-BG"/>
              </w:rPr>
              <w:t>:</w:t>
            </w:r>
            <w:r w:rsidRPr="00703017">
              <w:rPr>
                <w:rFonts w:ascii="Arial" w:hAnsi="Arial" w:cs="Arial"/>
                <w:sz w:val="20"/>
                <w:szCs w:val="20"/>
                <w:lang w:val="bg-BG"/>
              </w:rPr>
              <w:tab/>
              <w:t>1 mg/m³ (като вдишван прах)</w:t>
            </w:r>
          </w:p>
          <w:p w:rsidR="008D6E9B" w:rsidRPr="00703017" w:rsidRDefault="008D6E9B" w:rsidP="009D4C75">
            <w:pPr>
              <w:tabs>
                <w:tab w:val="left" w:pos="1701"/>
              </w:tabs>
              <w:spacing w:before="60" w:after="60" w:line="240" w:lineRule="auto"/>
              <w:rPr>
                <w:rFonts w:ascii="Arial" w:hAnsi="Arial" w:cs="Arial"/>
                <w:sz w:val="20"/>
                <w:szCs w:val="20"/>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mg/m³.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bl>
    <w:p w:rsidR="008D6E9B" w:rsidRPr="00703017" w:rsidRDefault="008D6E9B" w:rsidP="009D4C75">
      <w:pPr>
        <w:jc w:val="both"/>
        <w:rPr>
          <w:rFonts w:ascii="Arial" w:hAnsi="Arial" w:cs="Arial"/>
          <w:lang w:val="bg-BG"/>
        </w:rPr>
      </w:pPr>
    </w:p>
    <w:p w:rsidR="008D6E9B" w:rsidRPr="00703017" w:rsidRDefault="008D6E9B" w:rsidP="009D4C75">
      <w:pPr>
        <w:jc w:val="both"/>
        <w:rPr>
          <w:rFonts w:ascii="Arial" w:hAnsi="Arial" w:cs="Arial"/>
          <w:lang w:val="bg-BG"/>
        </w:rPr>
      </w:pPr>
    </w:p>
    <w:p w:rsidR="008D6E9B" w:rsidRPr="00703017" w:rsidRDefault="008D6E9B" w:rsidP="000F00A4">
      <w:pPr>
        <w:keepNext/>
        <w:spacing w:before="120" w:after="60" w:line="240" w:lineRule="auto"/>
        <w:rPr>
          <w:rFonts w:ascii="Arial" w:hAnsi="Arial" w:cs="Arial"/>
          <w:b/>
          <w:bCs/>
          <w:sz w:val="20"/>
          <w:szCs w:val="20"/>
          <w:lang w:val="bg-BG"/>
        </w:rPr>
        <w:sectPr w:rsidR="008D6E9B" w:rsidRPr="00703017" w:rsidSect="006A0CE4">
          <w:pgSz w:w="11906" w:h="16838"/>
          <w:pgMar w:top="1417" w:right="1417" w:bottom="1134" w:left="1417" w:header="708" w:footer="708" w:gutter="0"/>
          <w:cols w:space="708"/>
          <w:docGrid w:linePitch="360"/>
        </w:sectPr>
      </w:pPr>
      <w:bookmarkStart w:id="22" w:name="_Ref265781952"/>
      <w:bookmarkStart w:id="23" w:name="_Ref265782416"/>
      <w:bookmarkStart w:id="24" w:name="_Ref265782433"/>
      <w:bookmarkStart w:id="25" w:name="_Toc270425142"/>
    </w:p>
    <w:p w:rsidR="008D6E9B" w:rsidRPr="00703017" w:rsidRDefault="008D6E9B" w:rsidP="004B205A">
      <w:pPr>
        <w:keepNext/>
        <w:pageBreakBefore/>
        <w:tabs>
          <w:tab w:val="left" w:pos="1418"/>
        </w:tabs>
        <w:spacing w:before="240" w:after="60"/>
        <w:outlineLvl w:val="1"/>
        <w:rPr>
          <w:rFonts w:ascii="Arial" w:hAnsi="Arial" w:cs="Arial"/>
          <w:b/>
          <w:bCs/>
          <w:sz w:val="28"/>
          <w:szCs w:val="28"/>
          <w:lang w:val="bg-BG"/>
        </w:rPr>
      </w:pPr>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11: Професионална употреба на изделия/контейнери, съдържащи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bookmarkEnd w:id="22"/>
      <w:bookmarkEnd w:id="23"/>
      <w:bookmarkEnd w:id="24"/>
      <w:bookmarkEnd w:id="25"/>
    </w:p>
    <w:tbl>
      <w:tblPr>
        <w:tblW w:w="0" w:type="auto"/>
        <w:jc w:val="center"/>
        <w:tblCellMar>
          <w:left w:w="70" w:type="dxa"/>
          <w:right w:w="70" w:type="dxa"/>
        </w:tblCellMar>
        <w:tblLook w:val="00A0" w:firstRow="1" w:lastRow="0" w:firstColumn="1" w:lastColumn="0" w:noHBand="0" w:noVBand="0"/>
      </w:tblPr>
      <w:tblGrid>
        <w:gridCol w:w="1408"/>
        <w:gridCol w:w="2498"/>
        <w:gridCol w:w="1370"/>
        <w:gridCol w:w="1841"/>
        <w:gridCol w:w="1935"/>
      </w:tblGrid>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D6E9B" w:rsidRPr="0070774F">
        <w:trPr>
          <w:trHeight w:val="315"/>
          <w:jc w:val="center"/>
        </w:trPr>
        <w:tc>
          <w:tcPr>
            <w:tcW w:w="0" w:type="auto"/>
            <w:tcBorders>
              <w:top w:val="nil"/>
              <w:left w:val="single" w:sz="8" w:space="0" w:color="auto"/>
              <w:bottom w:val="single" w:sz="4" w:space="0" w:color="auto"/>
              <w:right w:val="single" w:sz="4"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4"/>
            <w:tcBorders>
              <w:top w:val="single" w:sz="8" w:space="0" w:color="auto"/>
              <w:left w:val="single" w:sz="4" w:space="0" w:color="auto"/>
              <w:bottom w:val="single" w:sz="4" w:space="0" w:color="auto"/>
              <w:right w:val="single" w:sz="8"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Професионална употреба на изделия/контейнери, съдържащи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D6E9B" w:rsidRPr="0070774F">
        <w:trPr>
          <w:trHeight w:val="782"/>
          <w:jc w:val="center"/>
        </w:trPr>
        <w:tc>
          <w:tcPr>
            <w:tcW w:w="0" w:type="auto"/>
            <w:tcBorders>
              <w:top w:val="single" w:sz="4" w:space="0" w:color="auto"/>
              <w:left w:val="single" w:sz="8" w:space="0" w:color="auto"/>
              <w:bottom w:val="single" w:sz="4" w:space="0" w:color="auto"/>
              <w:right w:val="single" w:sz="4"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SU22, SU1, SU5, SU6a, SU6b, SU7, SU10, SU11, SU12, SU13, SU16, SU17, SU18, SU19, SU20, SU23, SU24</w:t>
            </w:r>
            <w:r w:rsidRPr="00703017">
              <w:rPr>
                <w:lang w:val="bg-BG"/>
              </w:rPr>
              <w:br/>
            </w:r>
            <w:r w:rsidRPr="00703017">
              <w:rPr>
                <w:rFonts w:ascii="Arial" w:hAnsi="Arial" w:cs="Arial"/>
                <w:sz w:val="16"/>
                <w:szCs w:val="16"/>
                <w:lang w:val="bg-BG"/>
              </w:rPr>
              <w:t>AC1, AC2, AC3, AC4, AC5, AC6, AC7, AC8, AC10, AC11, AC13</w:t>
            </w:r>
          </w:p>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D6E9B" w:rsidRPr="0070774F">
        <w:trPr>
          <w:trHeight w:val="525"/>
          <w:jc w:val="center"/>
        </w:trPr>
        <w:tc>
          <w:tcPr>
            <w:tcW w:w="0" w:type="auto"/>
            <w:tcBorders>
              <w:top w:val="single" w:sz="4" w:space="0" w:color="auto"/>
              <w:left w:val="single" w:sz="8" w:space="0" w:color="auto"/>
              <w:bottom w:val="single" w:sz="4" w:space="0" w:color="auto"/>
              <w:right w:val="single" w:sz="4"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D6E9B" w:rsidRPr="0070774F">
        <w:trPr>
          <w:trHeight w:val="444"/>
          <w:jc w:val="center"/>
        </w:trPr>
        <w:tc>
          <w:tcPr>
            <w:tcW w:w="0" w:type="auto"/>
            <w:tcBorders>
              <w:top w:val="single" w:sz="4" w:space="0" w:color="auto"/>
              <w:left w:val="single" w:sz="8" w:space="0" w:color="auto"/>
              <w:bottom w:val="single" w:sz="8" w:space="0" w:color="auto"/>
              <w:right w:val="single" w:sz="4" w:space="0" w:color="auto"/>
            </w:tcBorders>
            <w:vAlign w:val="center"/>
          </w:tcPr>
          <w:p w:rsidR="008D6E9B" w:rsidRPr="00703017" w:rsidRDefault="008D6E9B"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4"/>
            <w:tcBorders>
              <w:top w:val="single" w:sz="4" w:space="0" w:color="auto"/>
              <w:left w:val="single" w:sz="4" w:space="0" w:color="auto"/>
              <w:bottom w:val="single" w:sz="8" w:space="0" w:color="auto"/>
              <w:right w:val="single" w:sz="8"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D6E9B" w:rsidRPr="00703017">
        <w:trPr>
          <w:trHeight w:val="315"/>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keepNext/>
              <w:spacing w:line="240" w:lineRule="auto"/>
              <w:jc w:val="both"/>
              <w:rPr>
                <w:rFonts w:ascii="Arial" w:hAnsi="Arial" w:cs="Arial"/>
                <w:b/>
                <w:bCs/>
                <w:sz w:val="16"/>
                <w:szCs w:val="16"/>
                <w:lang w:val="bg-BG" w:eastAsia="de-DE"/>
              </w:rPr>
            </w:pPr>
            <w:r w:rsidRPr="00703017">
              <w:rPr>
                <w:rFonts w:ascii="Arial" w:hAnsi="Arial" w:cs="Arial"/>
                <w:b/>
                <w:bCs/>
                <w:sz w:val="16"/>
                <w:szCs w:val="16"/>
                <w:lang w:val="bg-BG"/>
              </w:rPr>
              <w:t>PROC/ERC</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0" w:type="auto"/>
            <w:gridSpan w:val="2"/>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D6E9B" w:rsidRPr="0070774F">
        <w:trPr>
          <w:trHeight w:val="315"/>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0</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Други процеси</w:t>
            </w:r>
            <w:r w:rsidRPr="00703017">
              <w:rPr>
                <w:lang w:val="bg-BG"/>
              </w:rPr>
              <w:br/>
            </w:r>
            <w:r w:rsidRPr="00703017">
              <w:rPr>
                <w:rFonts w:ascii="Arial" w:hAnsi="Arial" w:cs="Arial"/>
                <w:sz w:val="16"/>
                <w:szCs w:val="16"/>
                <w:lang w:val="bg-BG"/>
              </w:rPr>
              <w:t>(PROC 21 (нисък емисионен потенциал) като заместител на оценката на експозицията)</w:t>
            </w:r>
          </w:p>
        </w:tc>
        <w:tc>
          <w:tcPr>
            <w:tcW w:w="0" w:type="auto"/>
            <w:gridSpan w:val="2"/>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Използване на контейнери, съдържащи CaO/препарати като CO</w:t>
            </w:r>
            <w:r w:rsidRPr="0070774F">
              <w:rPr>
                <w:rFonts w:ascii="Arial" w:hAnsi="Arial" w:cs="Arial"/>
                <w:sz w:val="16"/>
                <w:szCs w:val="16"/>
                <w:vertAlign w:val="subscript"/>
                <w:lang w:val="bg-BG"/>
              </w:rPr>
              <w:t>2</w:t>
            </w:r>
            <w:r w:rsidRPr="0070774F">
              <w:rPr>
                <w:rFonts w:ascii="Arial" w:hAnsi="Arial" w:cs="Arial"/>
                <w:sz w:val="16"/>
                <w:szCs w:val="16"/>
                <w:lang w:val="bg-BG"/>
              </w:rPr>
              <w:t>-абсорбенти (напр. дихателни апарати)</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21</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Ниско енергийна манипулация на вещества, свързани в материали и/или изделия</w:t>
            </w:r>
          </w:p>
        </w:tc>
        <w:tc>
          <w:tcPr>
            <w:tcW w:w="0" w:type="auto"/>
            <w:gridSpan w:val="2"/>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Работа с вещества, свързани в материали и/или изделия</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24</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Висока (механична) енергия при обработване на вещества, свързани в материали и/или изделия</w:t>
            </w:r>
          </w:p>
        </w:tc>
        <w:tc>
          <w:tcPr>
            <w:tcW w:w="0" w:type="auto"/>
            <w:gridSpan w:val="2"/>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Шлифоване, механично рязане</w:t>
            </w:r>
          </w:p>
        </w:tc>
      </w:tr>
      <w:tr w:rsidR="008D6E9B" w:rsidRPr="00703017">
        <w:trPr>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Други горещи работни операции с метали</w:t>
            </w:r>
          </w:p>
        </w:tc>
        <w:tc>
          <w:tcPr>
            <w:tcW w:w="0" w:type="auto"/>
            <w:gridSpan w:val="2"/>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Разтапяне, заваряване</w:t>
            </w:r>
          </w:p>
        </w:tc>
      </w:tr>
      <w:tr w:rsidR="008D6E9B" w:rsidRPr="0070774F">
        <w:trPr>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ERC10, ERC11, ERC 12</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Широко разпространена употреба на закрито и открито на изделия с дълъг живот и материали с ниска степен на отделяне</w:t>
            </w:r>
          </w:p>
        </w:tc>
        <w:tc>
          <w:tcPr>
            <w:tcW w:w="0" w:type="auto"/>
            <w:gridSpan w:val="2"/>
            <w:tcBorders>
              <w:top w:val="single" w:sz="4" w:space="0" w:color="000000"/>
              <w:left w:val="nil"/>
              <w:bottom w:val="single" w:sz="4" w:space="0" w:color="000000"/>
              <w:right w:val="single" w:sz="8" w:space="0" w:color="000000"/>
            </w:tcBorders>
            <w:vAlign w:val="center"/>
          </w:tcPr>
          <w:p w:rsidR="008D6E9B" w:rsidRPr="0070774F" w:rsidRDefault="008D6E9B" w:rsidP="009D4C75">
            <w:pPr>
              <w:keepNext/>
              <w:spacing w:line="240" w:lineRule="auto"/>
              <w:jc w:val="center"/>
              <w:rPr>
                <w:rFonts w:ascii="Arial" w:hAnsi="Arial" w:cs="Arial"/>
                <w:sz w:val="16"/>
                <w:szCs w:val="16"/>
                <w:lang w:val="bg-BG" w:eastAsia="de-DE"/>
              </w:rPr>
            </w:pPr>
            <w:r w:rsidRPr="0070774F">
              <w:rPr>
                <w:rFonts w:ascii="Arial" w:hAnsi="Arial" w:cs="Arial"/>
                <w:sz w:val="16"/>
                <w:szCs w:val="16"/>
                <w:lang w:val="bg-BG"/>
              </w:rPr>
              <w:t>CaO, свързано с изделия и материали, като: дървени и пластмасови строителни материали (напр. улуци, тръби), подови покрития, мебели, играчки, кожени изделия, хартиени и картонени изделия (списания, книги, вестници и опаковъчна хартия), електронни елементи (кутии)</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2.1 Контрол на експозицията на работниците</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774F">
        <w:trPr>
          <w:trHeight w:val="84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абразивност се взема предвид нивото й, вместо вътрешно присъщия емисионен потенциал на веществото.</w:t>
            </w:r>
          </w:p>
        </w:tc>
      </w:tr>
      <w:tr w:rsidR="008D6E9B" w:rsidRPr="00703017">
        <w:trPr>
          <w:trHeight w:val="301"/>
          <w:jc w:val="center"/>
        </w:trPr>
        <w:tc>
          <w:tcPr>
            <w:tcW w:w="0" w:type="auto"/>
            <w:tcBorders>
              <w:top w:val="nil"/>
              <w:left w:val="single" w:sz="8" w:space="0" w:color="auto"/>
              <w:bottom w:val="single" w:sz="4" w:space="0" w:color="000000"/>
              <w:right w:val="single" w:sz="4" w:space="0" w:color="auto"/>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0</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масивни изделия (пелети), нисък потенциал за формиране на прах поради абсобрцията при предварителното пилене и обработване на пелетите, не по време на използване на дихателен апарат</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нисък</w:t>
            </w:r>
            <w:r w:rsidRPr="00703017">
              <w:rPr>
                <w:lang w:val="bg-BG"/>
              </w:rPr>
              <w:br/>
            </w:r>
            <w:r w:rsidRPr="00703017">
              <w:rPr>
                <w:rFonts w:ascii="Arial" w:hAnsi="Arial" w:cs="Arial"/>
                <w:sz w:val="16"/>
                <w:szCs w:val="16"/>
                <w:lang w:val="bg-BG"/>
              </w:rPr>
              <w:t>(презумпция за най-лошия случай, тъй като не се предполага експозиция при вдишване по време на използване на дихателен апарат, поради много ниския абразивен потенциал)</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21</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масивни предмети</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много нисък</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24, 25</w:t>
            </w:r>
          </w:p>
        </w:tc>
        <w:tc>
          <w:tcPr>
            <w:tcW w:w="0" w:type="auto"/>
            <w:gridSpan w:val="2"/>
            <w:tcBorders>
              <w:top w:val="single" w:sz="4" w:space="0" w:color="000000"/>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масивни предмети</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D6E9B" w:rsidRPr="00703017">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Използвани количества</w:t>
            </w:r>
          </w:p>
        </w:tc>
      </w:tr>
      <w:tr w:rsidR="008D6E9B" w:rsidRPr="0070774F">
        <w:trPr>
          <w:trHeight w:val="673"/>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D6E9B" w:rsidRPr="00703017" w:rsidRDefault="008D6E9B"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детерминант на вътрешно присъщия на процеса емисионен потенциал.</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0</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w:t>
            </w:r>
            <w:r w:rsidRPr="00703017">
              <w:rPr>
                <w:lang w:val="bg-BG"/>
              </w:rPr>
              <w:br/>
            </w:r>
            <w:r w:rsidRPr="00703017">
              <w:rPr>
                <w:rFonts w:ascii="Arial" w:hAnsi="Arial" w:cs="Arial"/>
                <w:sz w:val="16"/>
                <w:szCs w:val="16"/>
                <w:lang w:val="bg-BG"/>
              </w:rPr>
              <w:t xml:space="preserve">(неограничена, що се отнася до професионалната експозиция </w:t>
            </w:r>
            <w:r w:rsidRPr="0070774F">
              <w:rPr>
                <w:rFonts w:ascii="Arial" w:hAnsi="Arial" w:cs="Arial"/>
                <w:sz w:val="16"/>
                <w:szCs w:val="16"/>
                <w:lang w:val="bg-BG"/>
              </w:rPr>
              <w:t>на CaO, фактическата</w:t>
            </w:r>
            <w:r w:rsidRPr="00703017">
              <w:rPr>
                <w:rFonts w:ascii="Arial" w:hAnsi="Arial" w:cs="Arial"/>
                <w:sz w:val="16"/>
                <w:szCs w:val="16"/>
                <w:lang w:val="bg-BG"/>
              </w:rPr>
              <w:t xml:space="preserve"> продължителност на използване на апарата може да бъде ограничена от указанията на производителя на апарата)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21</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24, 25</w:t>
            </w:r>
          </w:p>
        </w:tc>
        <w:tc>
          <w:tcPr>
            <w:tcW w:w="0" w:type="auto"/>
            <w:gridSpan w:val="4"/>
            <w:tcBorders>
              <w:top w:val="single" w:sz="4" w:space="0" w:color="000000"/>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D6E9B" w:rsidRPr="00703017">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D6E9B" w:rsidRPr="0070774F">
        <w:trPr>
          <w:trHeight w:val="315"/>
          <w:jc w:val="center"/>
        </w:trPr>
        <w:tc>
          <w:tcPr>
            <w:tcW w:w="0" w:type="auto"/>
            <w:gridSpan w:val="5"/>
            <w:tcBorders>
              <w:top w:val="single" w:sz="4"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Работни условия, като температура и налягане на процеса, се считат за ирелевантни при оценката на професионалната експозиция на извършваните процеси. На етапи на процеса с много висока температура (напр. PROC 22, 23, 25), оценката на експозицията в MEASE обаче се основава и на отношението между температурата на процеса и точката на разтапяне. Тъй като свързаните с процеса температури се различават значително в различните производства, най-високият процент се приема за най-лошия случай на презумпция за целите на оценката на експозицията. По такъв начин всички температури на процеса автоматично се покриват в този сценарий на експозиция за PROC 22, 23 и PROC 25.</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Измервания на ниво процес като елемент на управлението на риска (напр. задържане или сегрегиране на емисионния източник) по принцип не се изискват при процесите.</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контрол на дисперсията от източника към работника</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tcBorders>
              <w:top w:val="nil"/>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tcBorders>
              <w:top w:val="nil"/>
              <w:left w:val="nil"/>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D6E9B" w:rsidRPr="00703017">
        <w:trPr>
          <w:trHeight w:val="646"/>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0, 21, 24, 25</w:t>
            </w:r>
          </w:p>
        </w:tc>
        <w:tc>
          <w:tcPr>
            <w:tcW w:w="0" w:type="auto"/>
            <w:tcBorders>
              <w:top w:val="single" w:sz="4" w:space="0" w:color="000000"/>
              <w:left w:val="nil"/>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Всяко потенциално налагащо се откъсване на работниците от емисионния източник се включва по-горе под надслова </w:t>
            </w:r>
            <w:r>
              <w:rPr>
                <w:rFonts w:ascii="Arial" w:hAnsi="Arial" w:cs="Arial"/>
                <w:sz w:val="16"/>
                <w:szCs w:val="16"/>
                <w:lang w:val="bg-BG"/>
              </w:rPr>
              <w:t>„</w:t>
            </w:r>
            <w:r w:rsidRPr="00703017">
              <w:rPr>
                <w:rFonts w:ascii="Arial" w:hAnsi="Arial" w:cs="Arial"/>
                <w:sz w:val="16"/>
                <w:szCs w:val="16"/>
                <w:lang w:val="bg-BG"/>
              </w:rPr>
              <w:t>Честота и 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Намаляване на продължителността на експозицията може да се постигне, примерно, чрез инсталиране на вентилирани контролни стаи (позитивно налягане) или чрез извеждане на работника от работното място със съответната експозиция.</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tcBorders>
              <w:top w:val="single" w:sz="4" w:space="0" w:color="000000"/>
              <w:left w:val="single" w:sz="4" w:space="0" w:color="auto"/>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отделянията, дисперсията и експозицията</w:t>
            </w:r>
          </w:p>
        </w:tc>
      </w:tr>
      <w:tr w:rsidR="008D6E9B" w:rsidRPr="0070774F">
        <w:trPr>
          <w:trHeight w:val="882"/>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D6E9B" w:rsidRPr="00703017" w:rsidRDefault="008D6E9B" w:rsidP="009D4C75">
            <w:pPr>
              <w:spacing w:line="240" w:lineRule="auto"/>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w:t>
            </w:r>
            <w:r>
              <w:rPr>
                <w:rFonts w:ascii="Arial" w:hAnsi="Arial" w:cs="Arial"/>
                <w:sz w:val="16"/>
                <w:szCs w:val="16"/>
                <w:lang w:val="bg-BG"/>
              </w:rPr>
              <w:t>яна. Не носете заразени дрехи в</w:t>
            </w:r>
            <w:r w:rsidRPr="00703017">
              <w:rPr>
                <w:rFonts w:ascii="Arial" w:hAnsi="Arial" w:cs="Arial"/>
                <w:sz w:val="16"/>
                <w:szCs w:val="16"/>
                <w:lang w:val="bg-BG"/>
              </w:rPr>
              <w:t>къщи. Не издухвайте праха с въздух под налягане.</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Условия и мерки за лична защита, хигиена и оценка на здравето</w:t>
            </w:r>
          </w:p>
        </w:tc>
      </w:tr>
      <w:tr w:rsidR="008D6E9B" w:rsidRPr="0070774F">
        <w:trPr>
          <w:trHeight w:val="301"/>
          <w:jc w:val="center"/>
        </w:trPr>
        <w:tc>
          <w:tcPr>
            <w:tcW w:w="0" w:type="auto"/>
            <w:tcBorders>
              <w:top w:val="nil"/>
              <w:left w:val="single" w:sz="8" w:space="0" w:color="auto"/>
              <w:bottom w:val="single" w:sz="4" w:space="0" w:color="000000"/>
              <w:right w:val="single" w:sz="4" w:space="0" w:color="auto"/>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D6E9B" w:rsidRPr="0070774F">
        <w:trPr>
          <w:trHeight w:val="590"/>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0, 21</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na</w:t>
            </w:r>
          </w:p>
        </w:tc>
        <w:tc>
          <w:tcPr>
            <w:tcW w:w="0" w:type="auto"/>
            <w:vMerge w:val="restart"/>
            <w:tcBorders>
              <w:top w:val="single" w:sz="4" w:space="0" w:color="000000"/>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w:t>
            </w:r>
            <w:r w:rsidRPr="0070774F">
              <w:rPr>
                <w:rFonts w:ascii="Arial" w:hAnsi="Arial" w:cs="Arial"/>
                <w:sz w:val="16"/>
                <w:szCs w:val="16"/>
                <w:lang w:val="bg-BG"/>
              </w:rPr>
              <w:t>като CaO е класифицирано като</w:t>
            </w:r>
            <w:r w:rsidRPr="00703017">
              <w:rPr>
                <w:rFonts w:ascii="Arial" w:hAnsi="Arial" w:cs="Arial"/>
                <w:sz w:val="16"/>
                <w:szCs w:val="16"/>
                <w:lang w:val="bg-BG"/>
              </w:rPr>
              <w:t xml:space="preserve"> дразнещо кожата, задължителна е употребата на защитни ръкавици на всички етапи на процеса.</w:t>
            </w:r>
          </w:p>
        </w:tc>
        <w:tc>
          <w:tcPr>
            <w:tcW w:w="0" w:type="auto"/>
            <w:vMerge w:val="restart"/>
            <w:tcBorders>
              <w:top w:val="single" w:sz="4" w:space="0" w:color="000000"/>
              <w:left w:val="single" w:sz="4" w:space="0" w:color="auto"/>
              <w:bottom w:val="single" w:sz="4" w:space="0" w:color="auto"/>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D6E9B" w:rsidRPr="00703017">
        <w:trPr>
          <w:trHeight w:val="590"/>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24, 25</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vMerge/>
            <w:tcBorders>
              <w:top w:val="single" w:sz="4" w:space="0" w:color="auto"/>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c>
          <w:tcPr>
            <w:tcW w:w="0" w:type="auto"/>
            <w:vMerge/>
            <w:tcBorders>
              <w:top w:val="single" w:sz="4" w:space="0" w:color="auto"/>
              <w:left w:val="single" w:sz="4" w:space="0" w:color="auto"/>
              <w:bottom w:val="single" w:sz="4" w:space="0" w:color="auto"/>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774F">
        <w:trPr>
          <w:trHeight w:val="454"/>
          <w:jc w:val="center"/>
        </w:trPr>
        <w:tc>
          <w:tcPr>
            <w:tcW w:w="0" w:type="auto"/>
            <w:gridSpan w:val="5"/>
            <w:tcBorders>
              <w:top w:val="nil"/>
              <w:left w:val="single" w:sz="8" w:space="0" w:color="auto"/>
              <w:bottom w:val="single" w:sz="8" w:space="0" w:color="auto"/>
              <w:right w:val="single" w:sz="8" w:space="0" w:color="auto"/>
            </w:tcBorders>
            <w:vAlign w:val="center"/>
          </w:tcPr>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D6E9B" w:rsidRPr="00703017" w:rsidRDefault="008D6E9B"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D6E9B" w:rsidRPr="00703017" w:rsidRDefault="008D6E9B"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Общ преглед на APF на различните RPE (съгласно BS EN 529:2005) може да се намери в глосара на MEASE.</w:t>
            </w:r>
          </w:p>
        </w:tc>
      </w:tr>
      <w:tr w:rsidR="008D6E9B" w:rsidRPr="0070774F">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2.2 Контрол на експозицията за околната среда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Варта е химически свързана в матрица с много нисък потенциал на отделяне</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3. Оценка на експозицията и референция на източника</w:t>
            </w: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D6E9B" w:rsidRPr="0070774F">
        <w:trPr>
          <w:trHeight w:val="60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0B573E">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Инструментът за оценка на експозицията MEASE се използва за оценка на експозицията при вдишване. Съотношението на характеризиране на </w:t>
            </w:r>
            <w:r w:rsidRPr="0070774F">
              <w:rPr>
                <w:rFonts w:ascii="Arial" w:hAnsi="Arial" w:cs="Arial"/>
                <w:sz w:val="16"/>
                <w:szCs w:val="16"/>
                <w:lang w:val="bg-BG"/>
              </w:rPr>
              <w:t>риска (RCR) еотношение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за CaO от 1 mg/m³ (като вдъхван прах) и съответната очаквана оценка на експозиция на вдишване, получена с помощта</w:t>
            </w:r>
            <w:r w:rsidRPr="00703017">
              <w:rPr>
                <w:rFonts w:ascii="Arial" w:hAnsi="Arial" w:cs="Arial"/>
                <w:sz w:val="16"/>
                <w:szCs w:val="16"/>
                <w:lang w:val="bg-BG"/>
              </w:rPr>
              <w:t xml:space="preserve"> на MEASE (като вдъхван прах). По този начин, RCR включва една допълнителна граница на сигурност, т</w:t>
            </w:r>
            <w:r>
              <w:rPr>
                <w:rFonts w:ascii="Arial" w:hAnsi="Arial" w:cs="Arial"/>
                <w:sz w:val="16"/>
                <w:szCs w:val="16"/>
                <w:lang w:val="bg-BG"/>
              </w:rPr>
              <w:t>ъй като вдишаната фракция е под</w:t>
            </w:r>
            <w:r w:rsidRPr="00703017">
              <w:rPr>
                <w:rFonts w:ascii="Arial" w:hAnsi="Arial" w:cs="Arial"/>
                <w:sz w:val="16"/>
                <w:szCs w:val="16"/>
                <w:lang w:val="bg-BG"/>
              </w:rPr>
              <w:t>фракция на вдишваната фракция, съгласно EN 481.</w:t>
            </w:r>
          </w:p>
        </w:tc>
      </w:tr>
      <w:tr w:rsidR="008D6E9B" w:rsidRPr="0070774F">
        <w:trPr>
          <w:trHeight w:val="679"/>
          <w:jc w:val="center"/>
        </w:trPr>
        <w:tc>
          <w:tcPr>
            <w:tcW w:w="0" w:type="auto"/>
            <w:tcBorders>
              <w:top w:val="nil"/>
              <w:left w:val="single" w:sz="8" w:space="0" w:color="auto"/>
              <w:bottom w:val="single" w:sz="4" w:space="0" w:color="000000"/>
              <w:right w:val="single" w:sz="4" w:space="0" w:color="auto"/>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Методология, използвана за оценка на експозицията при вдишване</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Оценка на експозиция при вдишване (RCR)</w:t>
            </w:r>
          </w:p>
        </w:tc>
        <w:tc>
          <w:tcPr>
            <w:tcW w:w="0" w:type="auto"/>
            <w:tcBorders>
              <w:top w:val="nil"/>
              <w:left w:val="nil"/>
              <w:bottom w:val="single" w:sz="4" w:space="0" w:color="auto"/>
              <w:right w:val="single" w:sz="4"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Методология, използвана за оценка на дермалната експозиция</w:t>
            </w:r>
          </w:p>
        </w:tc>
        <w:tc>
          <w:tcPr>
            <w:tcW w:w="0" w:type="auto"/>
            <w:tcBorders>
              <w:top w:val="nil"/>
              <w:left w:val="nil"/>
              <w:bottom w:val="single" w:sz="4" w:space="0" w:color="000000"/>
              <w:right w:val="single" w:sz="8" w:space="0" w:color="auto"/>
            </w:tcBorders>
            <w:vAlign w:val="center"/>
          </w:tcPr>
          <w:p w:rsidR="008D6E9B" w:rsidRPr="00703017" w:rsidRDefault="008D6E9B"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Оценка при дермална експозиция (RCR)</w:t>
            </w:r>
          </w:p>
        </w:tc>
      </w:tr>
      <w:tr w:rsidR="008D6E9B" w:rsidRPr="0070774F">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0</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MEASE (PROC 21)</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Pr>
                <w:rFonts w:ascii="Arial" w:hAnsi="Arial" w:cs="Arial"/>
                <w:sz w:val="16"/>
                <w:szCs w:val="16"/>
                <w:lang w:val="bg-BG"/>
              </w:rPr>
              <w:t>0</w:t>
            </w:r>
            <w:r>
              <w:rPr>
                <w:rFonts w:ascii="Arial" w:hAnsi="Arial" w:cs="Arial"/>
                <w:sz w:val="16"/>
                <w:szCs w:val="16"/>
                <w:lang w:val="de-DE"/>
              </w:rPr>
              <w:t>,</w:t>
            </w:r>
            <w:r>
              <w:rPr>
                <w:rFonts w:ascii="Arial" w:hAnsi="Arial" w:cs="Arial"/>
                <w:sz w:val="16"/>
                <w:szCs w:val="16"/>
                <w:lang w:val="bg-BG"/>
              </w:rPr>
              <w:t>5 mg/m³ (0</w:t>
            </w:r>
            <w:r>
              <w:rPr>
                <w:rFonts w:ascii="Arial" w:hAnsi="Arial" w:cs="Arial"/>
                <w:sz w:val="16"/>
                <w:szCs w:val="16"/>
                <w:lang w:val="de-DE"/>
              </w:rPr>
              <w:t>,</w:t>
            </w:r>
            <w:r w:rsidRPr="00703017">
              <w:rPr>
                <w:rFonts w:ascii="Arial" w:hAnsi="Arial" w:cs="Arial"/>
                <w:sz w:val="16"/>
                <w:szCs w:val="16"/>
                <w:lang w:val="bg-BG"/>
              </w:rPr>
              <w:t>5)</w:t>
            </w:r>
          </w:p>
        </w:tc>
        <w:tc>
          <w:tcPr>
            <w:tcW w:w="0" w:type="auto"/>
            <w:gridSpan w:val="2"/>
            <w:vMerge w:val="restart"/>
            <w:tcBorders>
              <w:top w:val="single" w:sz="4" w:space="0" w:color="000000"/>
              <w:left w:val="nil"/>
              <w:right w:val="single" w:sz="8" w:space="0" w:color="000000"/>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w:t>
            </w:r>
            <w:r w:rsidRPr="0070774F">
              <w:rPr>
                <w:rFonts w:ascii="Arial" w:hAnsi="Arial" w:cs="Arial"/>
                <w:sz w:val="16"/>
                <w:szCs w:val="16"/>
                <w:lang w:val="bg-BG"/>
              </w:rPr>
              <w:t>като CaO се класифицира като дразнещо кожата, дермалната</w:t>
            </w:r>
            <w:r w:rsidRPr="00703017">
              <w:rPr>
                <w:rFonts w:ascii="Arial" w:hAnsi="Arial" w:cs="Arial"/>
                <w:sz w:val="16"/>
                <w:szCs w:val="16"/>
                <w:lang w:val="bg-BG"/>
              </w:rPr>
              <w:t xml:space="preserve"> експозиция трябва да се минимализира до технически оправданото. Не е получен DNEL за дермалните ефекти. Така че дермалната експозиция не се оценява в този сценарий на експозиция.</w:t>
            </w: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21</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0B573E">
            <w:pPr>
              <w:keepNext/>
              <w:spacing w:line="240" w:lineRule="auto"/>
              <w:jc w:val="center"/>
              <w:rPr>
                <w:rFonts w:ascii="Arial" w:hAnsi="Arial" w:cs="Arial"/>
                <w:sz w:val="16"/>
                <w:szCs w:val="16"/>
                <w:lang w:val="bg-BG" w:eastAsia="de-DE"/>
              </w:rPr>
            </w:pPr>
            <w:r>
              <w:rPr>
                <w:rFonts w:ascii="Arial" w:hAnsi="Arial" w:cs="Arial"/>
                <w:sz w:val="16"/>
                <w:szCs w:val="16"/>
                <w:lang w:val="bg-BG"/>
              </w:rPr>
              <w:t>0</w:t>
            </w:r>
            <w:r>
              <w:rPr>
                <w:rFonts w:ascii="Arial" w:hAnsi="Arial" w:cs="Arial"/>
                <w:sz w:val="16"/>
                <w:szCs w:val="16"/>
                <w:lang w:val="de-DE"/>
              </w:rPr>
              <w:t>,</w:t>
            </w:r>
            <w:r w:rsidRPr="00703017">
              <w:rPr>
                <w:rFonts w:ascii="Arial" w:hAnsi="Arial" w:cs="Arial"/>
                <w:sz w:val="16"/>
                <w:szCs w:val="16"/>
                <w:lang w:val="bg-BG"/>
              </w:rPr>
              <w:t>05 mg/m³ (0</w:t>
            </w:r>
            <w:r>
              <w:rPr>
                <w:rFonts w:ascii="Arial" w:hAnsi="Arial" w:cs="Arial"/>
                <w:sz w:val="16"/>
                <w:szCs w:val="16"/>
                <w:lang w:val="de-DE"/>
              </w:rPr>
              <w:t>,</w:t>
            </w:r>
            <w:r w:rsidRPr="00703017">
              <w:rPr>
                <w:rFonts w:ascii="Arial" w:hAnsi="Arial" w:cs="Arial"/>
                <w:sz w:val="16"/>
                <w:szCs w:val="16"/>
                <w:lang w:val="bg-BG"/>
              </w:rPr>
              <w:t>05)</w:t>
            </w:r>
          </w:p>
        </w:tc>
        <w:tc>
          <w:tcPr>
            <w:tcW w:w="0" w:type="auto"/>
            <w:gridSpan w:val="2"/>
            <w:vMerge/>
            <w:tcBorders>
              <w:left w:val="nil"/>
              <w:right w:val="single" w:sz="8" w:space="0" w:color="000000"/>
            </w:tcBorders>
            <w:vAlign w:val="center"/>
          </w:tcPr>
          <w:p w:rsidR="008D6E9B" w:rsidRPr="00703017" w:rsidRDefault="008D6E9B" w:rsidP="009D4C75">
            <w:pPr>
              <w:keepNext/>
              <w:jc w:val="center"/>
              <w:rPr>
                <w:rFonts w:ascii="Arial" w:hAnsi="Arial" w:cs="Arial"/>
                <w:sz w:val="16"/>
                <w:szCs w:val="16"/>
                <w:lang w:val="bg-BG" w:eastAsia="de-DE"/>
              </w:rPr>
            </w:pP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24</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0B573E">
            <w:pPr>
              <w:spacing w:line="240" w:lineRule="auto"/>
              <w:jc w:val="center"/>
              <w:rPr>
                <w:rFonts w:ascii="Arial" w:hAnsi="Arial" w:cs="Arial"/>
                <w:sz w:val="16"/>
                <w:szCs w:val="16"/>
                <w:lang w:val="bg-BG" w:eastAsia="de-DE"/>
              </w:rPr>
            </w:pPr>
            <w:r w:rsidRPr="00703017">
              <w:rPr>
                <w:rFonts w:ascii="Arial" w:hAnsi="Arial" w:cs="Arial"/>
                <w:sz w:val="16"/>
                <w:szCs w:val="16"/>
                <w:lang w:val="bg-BG"/>
              </w:rPr>
              <w:t>0</w:t>
            </w:r>
            <w:r>
              <w:rPr>
                <w:rFonts w:ascii="Arial" w:hAnsi="Arial" w:cs="Arial"/>
                <w:sz w:val="16"/>
                <w:szCs w:val="16"/>
                <w:lang w:val="de-DE"/>
              </w:rPr>
              <w:t>,</w:t>
            </w:r>
            <w:r w:rsidRPr="00703017">
              <w:rPr>
                <w:rFonts w:ascii="Arial" w:hAnsi="Arial" w:cs="Arial"/>
                <w:sz w:val="16"/>
                <w:szCs w:val="16"/>
                <w:lang w:val="bg-BG"/>
              </w:rPr>
              <w:t>825 mg/m³ (0</w:t>
            </w:r>
            <w:r>
              <w:rPr>
                <w:rFonts w:ascii="Arial" w:hAnsi="Arial" w:cs="Arial"/>
                <w:sz w:val="16"/>
                <w:szCs w:val="16"/>
                <w:lang w:val="de-DE"/>
              </w:rPr>
              <w:t>,</w:t>
            </w:r>
            <w:r w:rsidRPr="00703017">
              <w:rPr>
                <w:rFonts w:ascii="Arial" w:hAnsi="Arial" w:cs="Arial"/>
                <w:sz w:val="16"/>
                <w:szCs w:val="16"/>
                <w:lang w:val="bg-BG"/>
              </w:rPr>
              <w:t>825)</w:t>
            </w:r>
          </w:p>
        </w:tc>
        <w:tc>
          <w:tcPr>
            <w:tcW w:w="0" w:type="auto"/>
            <w:gridSpan w:val="2"/>
            <w:vMerge/>
            <w:tcBorders>
              <w:left w:val="nil"/>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D6E9B" w:rsidRPr="00703017" w:rsidRDefault="008D6E9B"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tcBorders>
              <w:top w:val="single" w:sz="4" w:space="0" w:color="000000"/>
              <w:left w:val="nil"/>
              <w:bottom w:val="single" w:sz="4" w:space="0" w:color="000000"/>
              <w:right w:val="single" w:sz="4" w:space="0" w:color="auto"/>
            </w:tcBorders>
            <w:vAlign w:val="center"/>
          </w:tcPr>
          <w:p w:rsidR="008D6E9B" w:rsidRPr="00703017" w:rsidRDefault="008D6E9B"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tcBorders>
              <w:top w:val="single" w:sz="4" w:space="0" w:color="000000"/>
              <w:left w:val="single" w:sz="4" w:space="0" w:color="auto"/>
              <w:bottom w:val="single" w:sz="4" w:space="0" w:color="000000"/>
              <w:right w:val="single" w:sz="4" w:space="0" w:color="000000"/>
            </w:tcBorders>
            <w:vAlign w:val="center"/>
          </w:tcPr>
          <w:p w:rsidR="008D6E9B" w:rsidRPr="00703017" w:rsidRDefault="008D6E9B" w:rsidP="000B573E">
            <w:pPr>
              <w:spacing w:line="240" w:lineRule="auto"/>
              <w:jc w:val="center"/>
              <w:rPr>
                <w:rFonts w:ascii="Arial" w:hAnsi="Arial" w:cs="Arial"/>
                <w:sz w:val="16"/>
                <w:szCs w:val="16"/>
                <w:lang w:val="bg-BG" w:eastAsia="de-DE"/>
              </w:rPr>
            </w:pPr>
            <w:r>
              <w:rPr>
                <w:rFonts w:ascii="Arial" w:hAnsi="Arial" w:cs="Arial"/>
                <w:sz w:val="16"/>
                <w:szCs w:val="16"/>
                <w:lang w:val="bg-BG"/>
              </w:rPr>
              <w:t>0</w:t>
            </w:r>
            <w:r>
              <w:rPr>
                <w:rFonts w:ascii="Arial" w:hAnsi="Arial" w:cs="Arial"/>
                <w:sz w:val="16"/>
                <w:szCs w:val="16"/>
                <w:lang w:val="de-DE"/>
              </w:rPr>
              <w:t>,</w:t>
            </w:r>
            <w:r w:rsidRPr="00703017">
              <w:rPr>
                <w:rFonts w:ascii="Arial" w:hAnsi="Arial" w:cs="Arial"/>
                <w:sz w:val="16"/>
                <w:szCs w:val="16"/>
                <w:lang w:val="bg-BG"/>
              </w:rPr>
              <w:t>6 mg/m³ (0</w:t>
            </w:r>
            <w:r>
              <w:rPr>
                <w:rFonts w:ascii="Arial" w:hAnsi="Arial" w:cs="Arial"/>
                <w:sz w:val="16"/>
                <w:szCs w:val="16"/>
                <w:lang w:val="de-DE"/>
              </w:rPr>
              <w:t>,</w:t>
            </w:r>
            <w:r w:rsidRPr="00703017">
              <w:rPr>
                <w:rFonts w:ascii="Arial" w:hAnsi="Arial" w:cs="Arial"/>
                <w:sz w:val="16"/>
                <w:szCs w:val="16"/>
                <w:lang w:val="bg-BG"/>
              </w:rPr>
              <w:t>6)</w:t>
            </w:r>
          </w:p>
        </w:tc>
        <w:tc>
          <w:tcPr>
            <w:tcW w:w="0" w:type="auto"/>
            <w:gridSpan w:val="2"/>
            <w:vMerge/>
            <w:tcBorders>
              <w:left w:val="nil"/>
              <w:bottom w:val="single" w:sz="4" w:space="0" w:color="000000"/>
              <w:right w:val="single" w:sz="8" w:space="0" w:color="000000"/>
            </w:tcBorders>
            <w:vAlign w:val="center"/>
          </w:tcPr>
          <w:p w:rsidR="008D6E9B" w:rsidRPr="00703017" w:rsidRDefault="008D6E9B" w:rsidP="009D4C75">
            <w:pPr>
              <w:keepNext/>
              <w:spacing w:line="240" w:lineRule="auto"/>
              <w:jc w:val="center"/>
              <w:rPr>
                <w:rFonts w:ascii="Arial" w:hAnsi="Arial" w:cs="Arial"/>
                <w:sz w:val="16"/>
                <w:szCs w:val="16"/>
                <w:lang w:val="bg-BG" w:eastAsia="de-DE"/>
              </w:rPr>
            </w:pPr>
          </w:p>
        </w:tc>
      </w:tr>
      <w:tr w:rsidR="008D6E9B"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Експозиция за околната среда</w:t>
            </w:r>
          </w:p>
        </w:tc>
      </w:tr>
      <w:tr w:rsidR="008D6E9B" w:rsidRPr="0070774F">
        <w:trPr>
          <w:trHeight w:val="301"/>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D6E9B" w:rsidRPr="00703017" w:rsidRDefault="008D6E9B"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Варта е ингредиент и химически е свързана в матрица: няма съзнателно отделяне на вар по време на нормалното </w:t>
            </w:r>
            <w:r w:rsidRPr="00C75D0A">
              <w:rPr>
                <w:rFonts w:ascii="Arial" w:hAnsi="Arial" w:cs="Arial"/>
                <w:sz w:val="16"/>
                <w:szCs w:val="16"/>
                <w:lang w:val="bg-BG"/>
              </w:rPr>
              <w:t>му</w:t>
            </w:r>
            <w:r w:rsidRPr="00703017">
              <w:rPr>
                <w:rFonts w:ascii="Arial" w:hAnsi="Arial" w:cs="Arial"/>
                <w:sz w:val="16"/>
                <w:szCs w:val="16"/>
                <w:lang w:val="bg-BG"/>
              </w:rPr>
              <w:t xml:space="preserve"> и разумно използване. Отделянията са незначителни и недостатъчни да предизвикат промяна на pH в почвата, отходните и повърхностните води.</w:t>
            </w:r>
          </w:p>
        </w:tc>
      </w:tr>
      <w:tr w:rsidR="008D6E9B" w:rsidRPr="0070774F">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00FFFF"/>
            <w:vAlign w:val="center"/>
          </w:tcPr>
          <w:p w:rsidR="008D6E9B" w:rsidRPr="00703017" w:rsidRDefault="008D6E9B"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 xml:space="preserve">4. Ръководство за </w:t>
            </w:r>
            <w:r>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D6E9B" w:rsidRPr="0070774F">
        <w:trPr>
          <w:cantSplit/>
          <w:trHeight w:val="1310"/>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D6E9B" w:rsidRPr="00703017" w:rsidRDefault="008D6E9B"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дермалната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скалиращ инструмент, като MEASE (</w:t>
            </w:r>
            <w:hyperlink r:id="rId39"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глосара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вещества със запрашеност по-м</w:t>
            </w:r>
            <w:r>
              <w:rPr>
                <w:rFonts w:ascii="Arial" w:hAnsi="Arial" w:cs="Arial"/>
                <w:sz w:val="16"/>
                <w:szCs w:val="16"/>
                <w:lang w:val="bg-BG"/>
              </w:rPr>
              <w:t>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D6E9B" w:rsidRPr="00703017" w:rsidRDefault="008D6E9B" w:rsidP="009D4C75">
            <w:pPr>
              <w:spacing w:before="60" w:after="60" w:line="240" w:lineRule="auto"/>
              <w:rPr>
                <w:rFonts w:ascii="Arial" w:hAnsi="Arial" w:cs="Arial"/>
                <w:sz w:val="20"/>
                <w:szCs w:val="20"/>
                <w:lang w:val="bg-BG" w:eastAsia="de-DE"/>
              </w:rPr>
            </w:pPr>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r w:rsidRPr="00703017">
              <w:rPr>
                <w:rFonts w:ascii="Arial" w:hAnsi="Arial" w:cs="Arial"/>
                <w:sz w:val="20"/>
                <w:szCs w:val="20"/>
                <w:lang w:val="bg-BG"/>
              </w:rPr>
              <w:t>:</w:t>
            </w:r>
            <w:r w:rsidRPr="00703017">
              <w:rPr>
                <w:rFonts w:ascii="Arial" w:hAnsi="Arial" w:cs="Arial"/>
                <w:sz w:val="20"/>
                <w:szCs w:val="20"/>
                <w:lang w:val="bg-BG"/>
              </w:rPr>
              <w:tab/>
              <w:t>1 mg/m³ (като вдишван прах)</w:t>
            </w:r>
          </w:p>
          <w:p w:rsidR="008D6E9B" w:rsidRPr="00703017" w:rsidRDefault="008D6E9B" w:rsidP="009D4C75">
            <w:pPr>
              <w:tabs>
                <w:tab w:val="left" w:pos="1701"/>
              </w:tabs>
              <w:spacing w:before="60" w:after="60" w:line="240" w:lineRule="auto"/>
              <w:rPr>
                <w:rFonts w:ascii="Arial" w:hAnsi="Arial" w:cs="Arial"/>
                <w:sz w:val="20"/>
                <w:szCs w:val="20"/>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mg/m³.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bl>
    <w:p w:rsidR="008D6E9B" w:rsidRPr="00703017" w:rsidRDefault="008D6E9B" w:rsidP="006A0CE4">
      <w:pPr>
        <w:rPr>
          <w:b/>
          <w:bCs/>
          <w:u w:val="single"/>
          <w:lang w:val="bg-BG"/>
        </w:rPr>
      </w:pPr>
    </w:p>
    <w:p w:rsidR="008D6E9B" w:rsidRPr="00703017" w:rsidRDefault="008D6E9B" w:rsidP="009C64DB">
      <w:pPr>
        <w:keepNext/>
        <w:pageBreakBefore/>
        <w:tabs>
          <w:tab w:val="left" w:pos="1418"/>
        </w:tabs>
        <w:spacing w:before="240" w:after="60"/>
        <w:outlineLvl w:val="1"/>
        <w:rPr>
          <w:rFonts w:ascii="Arial" w:hAnsi="Arial" w:cs="Arial"/>
          <w:b/>
          <w:bCs/>
          <w:sz w:val="28"/>
          <w:szCs w:val="28"/>
          <w:lang w:val="bg-BG"/>
        </w:rPr>
      </w:pPr>
      <w:bookmarkStart w:id="26" w:name="_Toc270425143"/>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12: Консумативна употреба на строителни материали (DIY - направи си сам)</w:t>
      </w:r>
      <w:bookmarkEnd w:id="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202"/>
        <w:gridCol w:w="454"/>
        <w:gridCol w:w="140"/>
        <w:gridCol w:w="125"/>
        <w:gridCol w:w="489"/>
        <w:gridCol w:w="582"/>
        <w:gridCol w:w="22"/>
        <w:gridCol w:w="645"/>
        <w:gridCol w:w="441"/>
        <w:gridCol w:w="614"/>
        <w:gridCol w:w="722"/>
        <w:gridCol w:w="842"/>
        <w:gridCol w:w="362"/>
        <w:gridCol w:w="1827"/>
      </w:tblGrid>
      <w:tr w:rsidR="008D6E9B" w:rsidRPr="0070774F">
        <w:trPr>
          <w:cantSplit/>
          <w:jc w:val="center"/>
        </w:trPr>
        <w:tc>
          <w:tcPr>
            <w:tcW w:w="9656" w:type="dxa"/>
            <w:gridSpan w:val="15"/>
            <w:shd w:val="clear" w:color="auto" w:fill="00FFFF"/>
            <w:vAlign w:val="center"/>
          </w:tcPr>
          <w:p w:rsidR="008D6E9B" w:rsidRPr="00703017" w:rsidRDefault="008D6E9B" w:rsidP="00E72338">
            <w:pPr>
              <w:spacing w:line="240" w:lineRule="auto"/>
              <w:rPr>
                <w:rFonts w:ascii="Arial" w:hAnsi="Arial" w:cs="Arial"/>
                <w:b/>
                <w:bCs/>
                <w:i/>
                <w:iCs/>
                <w:color w:val="0000FF"/>
                <w:sz w:val="20"/>
                <w:szCs w:val="20"/>
                <w:lang w:val="bg-BG"/>
              </w:rPr>
            </w:pPr>
            <w:r w:rsidRPr="00703017">
              <w:rPr>
                <w:rFonts w:ascii="Arial" w:hAnsi="Arial" w:cs="Arial"/>
                <w:b/>
                <w:bCs/>
                <w:sz w:val="16"/>
                <w:szCs w:val="16"/>
                <w:lang w:val="bg-BG"/>
              </w:rPr>
              <w:br w:type="page"/>
            </w:r>
            <w:r w:rsidRPr="00703017">
              <w:rPr>
                <w:rFonts w:ascii="Arial" w:hAnsi="Arial" w:cs="Arial"/>
                <w:b/>
                <w:bCs/>
                <w:i/>
                <w:iCs/>
                <w:color w:val="0000FF"/>
                <w:sz w:val="20"/>
                <w:szCs w:val="20"/>
                <w:lang w:val="bg-BG"/>
              </w:rPr>
              <w:t>Формат на сценарий на експозиция (2), посветен на начините на употреба от потребители</w:t>
            </w:r>
          </w:p>
        </w:tc>
      </w:tr>
      <w:tr w:rsidR="008D6E9B" w:rsidRPr="00703017">
        <w:trPr>
          <w:cantSplit/>
          <w:jc w:val="center"/>
        </w:trPr>
        <w:tc>
          <w:tcPr>
            <w:tcW w:w="9656" w:type="dxa"/>
            <w:gridSpan w:val="15"/>
            <w:shd w:val="clear" w:color="auto" w:fill="00FFFF"/>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1. Заглавие</w:t>
            </w:r>
          </w:p>
        </w:tc>
      </w:tr>
      <w:tr w:rsidR="008D6E9B" w:rsidRPr="0070774F">
        <w:trPr>
          <w:cantSplit/>
          <w:jc w:val="center"/>
        </w:trPr>
        <w:tc>
          <w:tcPr>
            <w:tcW w:w="3824" w:type="dxa"/>
            <w:gridSpan w:val="7"/>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Кратко свободно заглавие</w:t>
            </w:r>
          </w:p>
        </w:tc>
        <w:tc>
          <w:tcPr>
            <w:tcW w:w="5832" w:type="dxa"/>
            <w:gridSpan w:val="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Консумативна употреба на строителни материали </w:t>
            </w:r>
          </w:p>
        </w:tc>
      </w:tr>
      <w:tr w:rsidR="008D6E9B" w:rsidRPr="0070774F">
        <w:trPr>
          <w:cantSplit/>
          <w:jc w:val="center"/>
        </w:trPr>
        <w:tc>
          <w:tcPr>
            <w:tcW w:w="3824" w:type="dxa"/>
            <w:gridSpan w:val="7"/>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Систематично заглавие на основата на дескриптора на употребите</w:t>
            </w:r>
          </w:p>
        </w:tc>
        <w:tc>
          <w:tcPr>
            <w:tcW w:w="5832" w:type="dxa"/>
            <w:gridSpan w:val="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SU21, PC9a, PC9b, ERC8c, ERC8d, ERC8e, ERC8f</w:t>
            </w:r>
          </w:p>
        </w:tc>
      </w:tr>
      <w:tr w:rsidR="008D6E9B" w:rsidRPr="0070774F">
        <w:trPr>
          <w:cantSplit/>
          <w:jc w:val="center"/>
        </w:trPr>
        <w:tc>
          <w:tcPr>
            <w:tcW w:w="3824" w:type="dxa"/>
            <w:gridSpan w:val="7"/>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 xml:space="preserve">Покриване процеси, задачи, дейности </w:t>
            </w:r>
          </w:p>
        </w:tc>
        <w:tc>
          <w:tcPr>
            <w:tcW w:w="5832" w:type="dxa"/>
            <w:gridSpan w:val="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Обработка (смесване и пилене) прахообразни продукти </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Прилагане на течни продукти и пасти. </w:t>
            </w:r>
          </w:p>
        </w:tc>
      </w:tr>
      <w:tr w:rsidR="008D6E9B" w:rsidRPr="0070774F">
        <w:trPr>
          <w:cantSplit/>
          <w:jc w:val="center"/>
        </w:trPr>
        <w:tc>
          <w:tcPr>
            <w:tcW w:w="3824" w:type="dxa"/>
            <w:gridSpan w:val="7"/>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Метод на оценка*</w:t>
            </w:r>
          </w:p>
        </w:tc>
        <w:tc>
          <w:tcPr>
            <w:tcW w:w="5832" w:type="dxa"/>
            <w:gridSpan w:val="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Човешкото здраве:</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Извършена е качествена оценка на дермлната експозиция и през устата, както и на очите. Експозицията при вдишване беше оценена по Холандския модел (van Hemmen, 1992).</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Околна среда:</w:t>
            </w:r>
          </w:p>
          <w:p w:rsidR="008D6E9B" w:rsidRPr="00703017" w:rsidRDefault="008D6E9B" w:rsidP="00E72338">
            <w:pPr>
              <w:spacing w:line="240" w:lineRule="auto"/>
              <w:rPr>
                <w:rFonts w:ascii="Arial" w:hAnsi="Arial" w:cs="Arial"/>
                <w:i/>
                <w:iCs/>
                <w:sz w:val="16"/>
                <w:szCs w:val="16"/>
                <w:lang w:val="bg-BG"/>
              </w:rPr>
            </w:pPr>
            <w:r w:rsidRPr="00703017">
              <w:rPr>
                <w:rFonts w:ascii="Arial" w:hAnsi="Arial" w:cs="Arial"/>
                <w:sz w:val="16"/>
                <w:szCs w:val="16"/>
                <w:lang w:val="bg-BG"/>
              </w:rPr>
              <w:t>Предлага се оценка с качествена обосновка.</w:t>
            </w:r>
          </w:p>
        </w:tc>
      </w:tr>
      <w:tr w:rsidR="008D6E9B" w:rsidRPr="0070774F">
        <w:trPr>
          <w:cantSplit/>
          <w:jc w:val="center"/>
        </w:trPr>
        <w:tc>
          <w:tcPr>
            <w:tcW w:w="9656" w:type="dxa"/>
            <w:gridSpan w:val="15"/>
            <w:shd w:val="clear" w:color="auto" w:fill="00FFFF"/>
            <w:vAlign w:val="center"/>
          </w:tcPr>
          <w:p w:rsidR="008D6E9B" w:rsidRPr="00703017" w:rsidRDefault="008D6E9B"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lang w:val="bg-BG"/>
              </w:rPr>
              <w:t>2. Работни условия и мерки за управление на риска</w:t>
            </w:r>
          </w:p>
        </w:tc>
      </w:tr>
      <w:tr w:rsidR="008D6E9B" w:rsidRPr="0070774F">
        <w:trPr>
          <w:cantSplit/>
          <w:jc w:val="center"/>
        </w:trPr>
        <w:tc>
          <w:tcPr>
            <w:tcW w:w="2400" w:type="dxa"/>
            <w:gridSpan w:val="3"/>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RMM</w:t>
            </w:r>
          </w:p>
        </w:tc>
        <w:tc>
          <w:tcPr>
            <w:tcW w:w="7256" w:type="dxa"/>
            <w:gridSpan w:val="12"/>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sz w:val="16"/>
                <w:szCs w:val="16"/>
                <w:lang w:val="bg-BG"/>
              </w:rPr>
              <w:t>Не се прилагат свързани с продукта мерки за управление на риска.</w:t>
            </w:r>
          </w:p>
        </w:tc>
      </w:tr>
      <w:tr w:rsidR="008D6E9B" w:rsidRPr="0070774F">
        <w:trPr>
          <w:cantSplit/>
          <w:jc w:val="center"/>
        </w:trPr>
        <w:tc>
          <w:tcPr>
            <w:tcW w:w="2400" w:type="dxa"/>
            <w:gridSpan w:val="3"/>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PC/ERC</w:t>
            </w:r>
          </w:p>
        </w:tc>
        <w:tc>
          <w:tcPr>
            <w:tcW w:w="7256" w:type="dxa"/>
            <w:gridSpan w:val="12"/>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Описание на дейност, свързана с категориите на изделието (AC) и категориите за отделяне в околната среда (ERC)</w:t>
            </w:r>
          </w:p>
        </w:tc>
      </w:tr>
      <w:tr w:rsidR="008D6E9B" w:rsidRPr="00703017">
        <w:trPr>
          <w:cantSplit/>
          <w:jc w:val="center"/>
        </w:trPr>
        <w:tc>
          <w:tcPr>
            <w:tcW w:w="2400"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PC 9a, 9b</w:t>
            </w:r>
          </w:p>
        </w:tc>
        <w:tc>
          <w:tcPr>
            <w:tcW w:w="7256" w:type="dxa"/>
            <w:gridSpan w:val="12"/>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Смесване и товарене на съдържащи прах </w:t>
            </w:r>
            <w:r>
              <w:rPr>
                <w:rFonts w:ascii="Arial" w:hAnsi="Arial" w:cs="Arial"/>
                <w:sz w:val="16"/>
                <w:szCs w:val="16"/>
                <w:lang w:val="bg-BG"/>
              </w:rPr>
              <w:t>варови</w:t>
            </w:r>
            <w:r w:rsidRPr="00703017">
              <w:rPr>
                <w:rFonts w:ascii="Arial" w:hAnsi="Arial" w:cs="Arial"/>
                <w:sz w:val="16"/>
                <w:szCs w:val="16"/>
                <w:lang w:val="bg-BG"/>
              </w:rPr>
              <w:t xml:space="preserve"> вещества.</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Използване на варов разтвор, замазка или шпакловка на стени и тавани.</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Постапликационна експозиция. </w:t>
            </w:r>
          </w:p>
        </w:tc>
      </w:tr>
      <w:tr w:rsidR="008D6E9B" w:rsidRPr="0070774F">
        <w:trPr>
          <w:cantSplit/>
          <w:jc w:val="center"/>
        </w:trPr>
        <w:tc>
          <w:tcPr>
            <w:tcW w:w="2400"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ERC 8c, 8d, 8e, 8f</w:t>
            </w:r>
          </w:p>
        </w:tc>
        <w:tc>
          <w:tcPr>
            <w:tcW w:w="7256" w:type="dxa"/>
            <w:gridSpan w:val="12"/>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Широко разпространена употреба на закрито, водеща до включване в или върху матрица</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Широко разпространена употреба на открито на помощни средства за обработка в отворени системи</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Широко разпространена употреба на открито на химически активни вещества в отворени системи</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Широко разпространена употреба на открито, водеща до включване в или върху матрица</w:t>
            </w:r>
          </w:p>
        </w:tc>
      </w:tr>
      <w:tr w:rsidR="008D6E9B" w:rsidRPr="0070774F">
        <w:trPr>
          <w:cantSplit/>
          <w:jc w:val="center"/>
        </w:trPr>
        <w:tc>
          <w:tcPr>
            <w:tcW w:w="9656" w:type="dxa"/>
            <w:gridSpan w:val="15"/>
            <w:shd w:val="clear" w:color="auto" w:fill="00FFFF"/>
            <w:vAlign w:val="center"/>
          </w:tcPr>
          <w:p w:rsidR="008D6E9B" w:rsidRPr="00703017" w:rsidRDefault="008D6E9B"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highlight w:val="cyan"/>
                <w:lang w:val="bg-BG"/>
              </w:rPr>
              <w:t>2.1 Контрол на експозицията на потребителите</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Характеристика на продукта</w:t>
            </w:r>
          </w:p>
        </w:tc>
      </w:tr>
      <w:tr w:rsidR="008D6E9B" w:rsidRPr="00703017">
        <w:trPr>
          <w:cantSplit/>
          <w:jc w:val="center"/>
        </w:trPr>
        <w:tc>
          <w:tcPr>
            <w:tcW w:w="1917" w:type="dxa"/>
            <w:gridSpan w:val="2"/>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Описание на препарата</w:t>
            </w:r>
          </w:p>
        </w:tc>
        <w:tc>
          <w:tcPr>
            <w:tcW w:w="1929" w:type="dxa"/>
            <w:gridSpan w:val="6"/>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Концентрация на веществото в препарата</w:t>
            </w:r>
          </w:p>
        </w:tc>
        <w:tc>
          <w:tcPr>
            <w:tcW w:w="1810" w:type="dxa"/>
            <w:gridSpan w:val="3"/>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Физическо състояние на препарата</w:t>
            </w:r>
          </w:p>
        </w:tc>
        <w:tc>
          <w:tcPr>
            <w:tcW w:w="2053" w:type="dxa"/>
            <w:gridSpan w:val="3"/>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Запрашеност (ако е приложимо)</w:t>
            </w:r>
          </w:p>
        </w:tc>
        <w:tc>
          <w:tcPr>
            <w:tcW w:w="1947" w:type="dxa"/>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Дизайн на опаковката</w:t>
            </w:r>
          </w:p>
        </w:tc>
      </w:tr>
      <w:tr w:rsidR="008D6E9B" w:rsidRPr="0070774F">
        <w:trPr>
          <w:cantSplit/>
          <w:jc w:val="center"/>
        </w:trPr>
        <w:tc>
          <w:tcPr>
            <w:tcW w:w="1917" w:type="dxa"/>
            <w:gridSpan w:val="2"/>
            <w:vAlign w:val="center"/>
          </w:tcPr>
          <w:p w:rsidR="008D6E9B" w:rsidRPr="00703017" w:rsidRDefault="008D6E9B" w:rsidP="00E72338">
            <w:pPr>
              <w:spacing w:line="240" w:lineRule="auto"/>
              <w:rPr>
                <w:rFonts w:ascii="Arial" w:hAnsi="Arial" w:cs="Arial"/>
                <w:sz w:val="16"/>
                <w:szCs w:val="16"/>
                <w:lang w:val="bg-BG"/>
              </w:rPr>
            </w:pPr>
            <w:r>
              <w:rPr>
                <w:rFonts w:ascii="Arial" w:hAnsi="Arial" w:cs="Arial"/>
                <w:sz w:val="16"/>
                <w:szCs w:val="16"/>
                <w:lang w:val="bg-BG"/>
              </w:rPr>
              <w:t>Варо</w:t>
            </w:r>
            <w:r w:rsidRPr="00703017">
              <w:rPr>
                <w:rFonts w:ascii="Arial" w:hAnsi="Arial" w:cs="Arial"/>
                <w:sz w:val="16"/>
                <w:szCs w:val="16"/>
                <w:lang w:val="bg-BG"/>
              </w:rPr>
              <w:t>во вещество</w:t>
            </w:r>
          </w:p>
        </w:tc>
        <w:tc>
          <w:tcPr>
            <w:tcW w:w="1929" w:type="dxa"/>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100 %</w:t>
            </w:r>
          </w:p>
        </w:tc>
        <w:tc>
          <w:tcPr>
            <w:tcW w:w="1810"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Твърдо/на прах</w:t>
            </w:r>
          </w:p>
        </w:tc>
        <w:tc>
          <w:tcPr>
            <w:tcW w:w="2053" w:type="dxa"/>
            <w:gridSpan w:val="3"/>
            <w:vMerge w:val="restart"/>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Силно, средно или слаб</w:t>
            </w:r>
            <w:r>
              <w:rPr>
                <w:rFonts w:ascii="Arial" w:hAnsi="Arial" w:cs="Arial"/>
                <w:sz w:val="16"/>
                <w:szCs w:val="16"/>
                <w:lang w:val="bg-BG"/>
              </w:rPr>
              <w:t>о, в зависимост от вида варо</w:t>
            </w:r>
            <w:r w:rsidRPr="00703017">
              <w:rPr>
                <w:rFonts w:ascii="Arial" w:hAnsi="Arial" w:cs="Arial"/>
                <w:sz w:val="16"/>
                <w:szCs w:val="16"/>
                <w:lang w:val="bg-BG"/>
              </w:rPr>
              <w:t xml:space="preserve">во вещество (индикативни стойност от описанието за </w:t>
            </w:r>
            <w:r>
              <w:rPr>
                <w:rFonts w:ascii="Arial" w:hAnsi="Arial" w:cs="Arial"/>
                <w:sz w:val="16"/>
                <w:szCs w:val="16"/>
                <w:lang w:val="bg-BG"/>
              </w:rPr>
              <w:t>„</w:t>
            </w:r>
            <w:r w:rsidRPr="00703017">
              <w:rPr>
                <w:rFonts w:ascii="Arial" w:hAnsi="Arial" w:cs="Arial"/>
                <w:sz w:val="16"/>
                <w:szCs w:val="16"/>
                <w:lang w:val="bg-BG"/>
              </w:rPr>
              <w:t>Направи си сам</w:t>
            </w:r>
            <w:r w:rsidRPr="00B94FEE">
              <w:rPr>
                <w:rFonts w:ascii="Arial" w:hAnsi="Arial" w:cs="Arial"/>
                <w:sz w:val="16"/>
                <w:szCs w:val="16"/>
                <w:lang w:val="bg-BG"/>
              </w:rPr>
              <w:t>“</w:t>
            </w:r>
            <w:r w:rsidRPr="00703017">
              <w:rPr>
                <w:rFonts w:ascii="Arial" w:hAnsi="Arial" w:cs="Arial"/>
                <w:sz w:val="16"/>
                <w:szCs w:val="16"/>
                <w:vertAlign w:val="superscript"/>
                <w:lang w:val="bg-BG"/>
              </w:rPr>
              <w:t>1</w:t>
            </w:r>
            <w:r w:rsidRPr="00703017">
              <w:rPr>
                <w:rFonts w:ascii="Arial" w:hAnsi="Arial" w:cs="Arial"/>
                <w:sz w:val="16"/>
                <w:szCs w:val="16"/>
                <w:lang w:val="bg-BG"/>
              </w:rPr>
              <w:t xml:space="preserve"> вижте в Раздел 9.0.3)</w:t>
            </w:r>
          </w:p>
        </w:tc>
        <w:tc>
          <w:tcPr>
            <w:tcW w:w="1947" w:type="dxa"/>
            <w:vMerge w:val="restart"/>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Насипно, в чували до 35 kg.</w:t>
            </w:r>
          </w:p>
        </w:tc>
      </w:tr>
      <w:tr w:rsidR="008D6E9B" w:rsidRPr="00703017">
        <w:trPr>
          <w:cantSplit/>
          <w:jc w:val="center"/>
        </w:trPr>
        <w:tc>
          <w:tcPr>
            <w:tcW w:w="1917" w:type="dxa"/>
            <w:gridSpan w:val="2"/>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Варов разтвор, хоросан</w:t>
            </w:r>
          </w:p>
        </w:tc>
        <w:tc>
          <w:tcPr>
            <w:tcW w:w="1929" w:type="dxa"/>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20-40%</w:t>
            </w:r>
          </w:p>
        </w:tc>
        <w:tc>
          <w:tcPr>
            <w:tcW w:w="1810"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Твърдо/на прах</w:t>
            </w:r>
          </w:p>
        </w:tc>
        <w:tc>
          <w:tcPr>
            <w:tcW w:w="2053" w:type="dxa"/>
            <w:gridSpan w:val="3"/>
            <w:vMerge/>
            <w:vAlign w:val="center"/>
          </w:tcPr>
          <w:p w:rsidR="008D6E9B" w:rsidRPr="00703017" w:rsidRDefault="008D6E9B" w:rsidP="00E72338">
            <w:pPr>
              <w:spacing w:line="240" w:lineRule="auto"/>
              <w:rPr>
                <w:rFonts w:ascii="Arial" w:hAnsi="Arial" w:cs="Arial"/>
                <w:sz w:val="16"/>
                <w:szCs w:val="16"/>
                <w:highlight w:val="yellow"/>
                <w:lang w:val="bg-BG"/>
              </w:rPr>
            </w:pPr>
          </w:p>
        </w:tc>
        <w:tc>
          <w:tcPr>
            <w:tcW w:w="1947" w:type="dxa"/>
            <w:vMerge/>
            <w:vAlign w:val="center"/>
          </w:tcPr>
          <w:p w:rsidR="008D6E9B" w:rsidRPr="00703017" w:rsidRDefault="008D6E9B" w:rsidP="00E72338">
            <w:pPr>
              <w:spacing w:line="240" w:lineRule="auto"/>
              <w:rPr>
                <w:rFonts w:ascii="Arial" w:hAnsi="Arial" w:cs="Arial"/>
                <w:sz w:val="16"/>
                <w:szCs w:val="16"/>
                <w:lang w:val="bg-BG"/>
              </w:rPr>
            </w:pPr>
          </w:p>
        </w:tc>
      </w:tr>
      <w:tr w:rsidR="008D6E9B" w:rsidRPr="00703017">
        <w:trPr>
          <w:cantSplit/>
          <w:jc w:val="center"/>
        </w:trPr>
        <w:tc>
          <w:tcPr>
            <w:tcW w:w="1917" w:type="dxa"/>
            <w:gridSpan w:val="2"/>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Варов разтвор, хоросан</w:t>
            </w:r>
          </w:p>
        </w:tc>
        <w:tc>
          <w:tcPr>
            <w:tcW w:w="1929" w:type="dxa"/>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20-40%</w:t>
            </w:r>
          </w:p>
        </w:tc>
        <w:tc>
          <w:tcPr>
            <w:tcW w:w="1810"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Вискозна </w:t>
            </w:r>
          </w:p>
        </w:tc>
        <w:tc>
          <w:tcPr>
            <w:tcW w:w="2053"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w:t>
            </w:r>
          </w:p>
        </w:tc>
        <w:tc>
          <w:tcPr>
            <w:tcW w:w="1947" w:type="dxa"/>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w:t>
            </w:r>
          </w:p>
        </w:tc>
      </w:tr>
      <w:tr w:rsidR="008D6E9B" w:rsidRPr="00703017">
        <w:trPr>
          <w:cantSplit/>
          <w:jc w:val="center"/>
        </w:trPr>
        <w:tc>
          <w:tcPr>
            <w:tcW w:w="1917" w:type="dxa"/>
            <w:gridSpan w:val="2"/>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Шпакловка</w:t>
            </w:r>
          </w:p>
        </w:tc>
        <w:tc>
          <w:tcPr>
            <w:tcW w:w="1929" w:type="dxa"/>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30-55%</w:t>
            </w:r>
          </w:p>
        </w:tc>
        <w:tc>
          <w:tcPr>
            <w:tcW w:w="1810"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Силно вискозна, гъста течност</w:t>
            </w:r>
          </w:p>
        </w:tc>
        <w:tc>
          <w:tcPr>
            <w:tcW w:w="2053"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w:t>
            </w:r>
          </w:p>
        </w:tc>
        <w:tc>
          <w:tcPr>
            <w:tcW w:w="1947" w:type="dxa"/>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В туби или кофи</w:t>
            </w:r>
          </w:p>
        </w:tc>
      </w:tr>
      <w:tr w:rsidR="008D6E9B" w:rsidRPr="0070774F">
        <w:trPr>
          <w:cantSplit/>
          <w:jc w:val="center"/>
        </w:trPr>
        <w:tc>
          <w:tcPr>
            <w:tcW w:w="1917" w:type="dxa"/>
            <w:gridSpan w:val="2"/>
            <w:vAlign w:val="center"/>
          </w:tcPr>
          <w:p w:rsidR="008D6E9B" w:rsidRPr="00703017" w:rsidRDefault="008D6E9B" w:rsidP="00E72338">
            <w:pPr>
              <w:spacing w:line="240" w:lineRule="auto"/>
              <w:rPr>
                <w:rFonts w:ascii="Arial" w:hAnsi="Arial" w:cs="Arial"/>
                <w:sz w:val="16"/>
                <w:szCs w:val="16"/>
                <w:lang w:val="bg-BG"/>
              </w:rPr>
            </w:pPr>
            <w:r>
              <w:rPr>
                <w:rFonts w:ascii="Arial" w:hAnsi="Arial" w:cs="Arial"/>
                <w:sz w:val="16"/>
                <w:szCs w:val="16"/>
                <w:lang w:val="bg-BG"/>
              </w:rPr>
              <w:t>Готова варо</w:t>
            </w:r>
            <w:r w:rsidRPr="00703017">
              <w:rPr>
                <w:rFonts w:ascii="Arial" w:hAnsi="Arial" w:cs="Arial"/>
                <w:sz w:val="16"/>
                <w:szCs w:val="16"/>
                <w:lang w:val="bg-BG"/>
              </w:rPr>
              <w:t>ва боя</w:t>
            </w:r>
          </w:p>
        </w:tc>
        <w:tc>
          <w:tcPr>
            <w:tcW w:w="1929" w:type="dxa"/>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~30%</w:t>
            </w:r>
          </w:p>
        </w:tc>
        <w:tc>
          <w:tcPr>
            <w:tcW w:w="1810"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Твърдо/на прах</w:t>
            </w:r>
          </w:p>
        </w:tc>
        <w:tc>
          <w:tcPr>
            <w:tcW w:w="2053"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Високо - ниско </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(индикативни стойност от описанието за </w:t>
            </w:r>
            <w:r>
              <w:rPr>
                <w:rFonts w:ascii="Arial" w:hAnsi="Arial" w:cs="Arial"/>
                <w:sz w:val="16"/>
                <w:szCs w:val="16"/>
                <w:lang w:val="bg-BG"/>
              </w:rPr>
              <w:t>„</w:t>
            </w:r>
            <w:r w:rsidRPr="00703017">
              <w:rPr>
                <w:rFonts w:ascii="Arial" w:hAnsi="Arial" w:cs="Arial"/>
                <w:sz w:val="16"/>
                <w:szCs w:val="16"/>
                <w:lang w:val="bg-BG"/>
              </w:rPr>
              <w:t>Направи си сам</w:t>
            </w:r>
            <w:r w:rsidRPr="00B94FEE">
              <w:rPr>
                <w:rFonts w:ascii="Arial" w:hAnsi="Arial" w:cs="Arial"/>
                <w:sz w:val="16"/>
                <w:szCs w:val="16"/>
                <w:lang w:val="bg-BG"/>
              </w:rPr>
              <w:t>“</w:t>
            </w:r>
            <w:r w:rsidRPr="00703017">
              <w:rPr>
                <w:rFonts w:ascii="Arial" w:hAnsi="Arial" w:cs="Arial"/>
                <w:sz w:val="16"/>
                <w:szCs w:val="16"/>
                <w:vertAlign w:val="superscript"/>
                <w:lang w:val="bg-BG"/>
              </w:rPr>
              <w:t>1</w:t>
            </w:r>
            <w:r w:rsidRPr="00703017">
              <w:rPr>
                <w:rFonts w:ascii="Arial" w:hAnsi="Arial" w:cs="Arial"/>
                <w:sz w:val="16"/>
                <w:szCs w:val="16"/>
                <w:lang w:val="bg-BG"/>
              </w:rPr>
              <w:t xml:space="preserve"> вижте в Раздел 9.0.3)</w:t>
            </w:r>
          </w:p>
        </w:tc>
        <w:tc>
          <w:tcPr>
            <w:tcW w:w="1947" w:type="dxa"/>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Насипно, в чували до 35 kg.</w:t>
            </w:r>
          </w:p>
        </w:tc>
      </w:tr>
      <w:tr w:rsidR="008D6E9B" w:rsidRPr="00703017">
        <w:trPr>
          <w:cantSplit/>
          <w:jc w:val="center"/>
        </w:trPr>
        <w:tc>
          <w:tcPr>
            <w:tcW w:w="1917" w:type="dxa"/>
            <w:gridSpan w:val="2"/>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Варова боя/мляко - препарат</w:t>
            </w:r>
          </w:p>
        </w:tc>
        <w:tc>
          <w:tcPr>
            <w:tcW w:w="1929" w:type="dxa"/>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30 %</w:t>
            </w:r>
          </w:p>
        </w:tc>
        <w:tc>
          <w:tcPr>
            <w:tcW w:w="1810"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Препарат </w:t>
            </w:r>
            <w:r w:rsidRPr="001B4A7A">
              <w:rPr>
                <w:rFonts w:ascii="Arial" w:hAnsi="Arial" w:cs="Arial"/>
                <w:sz w:val="16"/>
                <w:szCs w:val="16"/>
                <w:lang w:val="bg-BG"/>
              </w:rPr>
              <w:t xml:space="preserve">варово </w:t>
            </w:r>
            <w:r w:rsidRPr="00703017">
              <w:rPr>
                <w:rFonts w:ascii="Arial" w:hAnsi="Arial" w:cs="Arial"/>
                <w:sz w:val="16"/>
                <w:szCs w:val="16"/>
                <w:lang w:val="bg-BG"/>
              </w:rPr>
              <w:t>мляко</w:t>
            </w:r>
          </w:p>
        </w:tc>
        <w:tc>
          <w:tcPr>
            <w:tcW w:w="2053"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w:t>
            </w:r>
          </w:p>
        </w:tc>
        <w:tc>
          <w:tcPr>
            <w:tcW w:w="1947" w:type="dxa"/>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Използвани количества</w:t>
            </w:r>
          </w:p>
        </w:tc>
      </w:tr>
      <w:tr w:rsidR="008D6E9B" w:rsidRPr="00703017">
        <w:trPr>
          <w:cantSplit/>
          <w:jc w:val="center"/>
        </w:trPr>
        <w:tc>
          <w:tcPr>
            <w:tcW w:w="2548" w:type="dxa"/>
            <w:gridSpan w:val="4"/>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Описание на препарата</w:t>
            </w:r>
          </w:p>
        </w:tc>
        <w:tc>
          <w:tcPr>
            <w:tcW w:w="7108" w:type="dxa"/>
            <w:gridSpan w:val="11"/>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Количество за еднократна употреба</w:t>
            </w:r>
          </w:p>
        </w:tc>
      </w:tr>
      <w:tr w:rsidR="008D6E9B" w:rsidRPr="0070774F">
        <w:trPr>
          <w:cantSplit/>
          <w:jc w:val="center"/>
        </w:trPr>
        <w:tc>
          <w:tcPr>
            <w:tcW w:w="2548" w:type="dxa"/>
            <w:gridSpan w:val="4"/>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Шпакловка </w:t>
            </w:r>
          </w:p>
        </w:tc>
        <w:tc>
          <w:tcPr>
            <w:tcW w:w="7108" w:type="dxa"/>
            <w:gridSpan w:val="11"/>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250 g – 1 kg прах (2:1 прах-вода)</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Трудно за определяне, тъй като количеството силно зависи от дълбочината и размера на дупките за запълване.</w:t>
            </w:r>
          </w:p>
        </w:tc>
      </w:tr>
      <w:tr w:rsidR="008D6E9B" w:rsidRPr="0070774F">
        <w:trPr>
          <w:cantSplit/>
          <w:jc w:val="center"/>
        </w:trPr>
        <w:tc>
          <w:tcPr>
            <w:tcW w:w="2548" w:type="dxa"/>
            <w:gridSpan w:val="4"/>
            <w:vAlign w:val="center"/>
          </w:tcPr>
          <w:p w:rsidR="008D6E9B" w:rsidRPr="00703017" w:rsidRDefault="008D6E9B" w:rsidP="00E72338">
            <w:pPr>
              <w:spacing w:line="240" w:lineRule="auto"/>
              <w:rPr>
                <w:rFonts w:ascii="Arial" w:hAnsi="Arial" w:cs="Arial"/>
                <w:sz w:val="16"/>
                <w:szCs w:val="16"/>
                <w:lang w:val="bg-BG"/>
              </w:rPr>
            </w:pPr>
          </w:p>
          <w:p w:rsidR="008D6E9B" w:rsidRPr="00703017" w:rsidRDefault="008D6E9B" w:rsidP="00B77F9C">
            <w:pPr>
              <w:spacing w:line="240" w:lineRule="auto"/>
              <w:rPr>
                <w:rFonts w:ascii="Arial" w:hAnsi="Arial" w:cs="Arial"/>
                <w:sz w:val="16"/>
                <w:szCs w:val="16"/>
                <w:lang w:val="bg-BG"/>
              </w:rPr>
            </w:pPr>
            <w:r>
              <w:rPr>
                <w:rFonts w:ascii="Arial" w:hAnsi="Arial" w:cs="Arial"/>
                <w:sz w:val="16"/>
                <w:szCs w:val="16"/>
                <w:lang w:val="bg-BG"/>
              </w:rPr>
              <w:t>Вар</w:t>
            </w:r>
            <w:r w:rsidRPr="00703017">
              <w:rPr>
                <w:rFonts w:ascii="Arial" w:hAnsi="Arial" w:cs="Arial"/>
                <w:sz w:val="16"/>
                <w:szCs w:val="16"/>
                <w:lang w:val="bg-BG"/>
              </w:rPr>
              <w:t>ов разтвор/варова боя</w:t>
            </w:r>
          </w:p>
        </w:tc>
        <w:tc>
          <w:tcPr>
            <w:tcW w:w="7108" w:type="dxa"/>
            <w:gridSpan w:val="11"/>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25 kg в зависимост от размера на стаята, стената, която ще се боядисва.</w:t>
            </w:r>
          </w:p>
        </w:tc>
      </w:tr>
      <w:tr w:rsidR="008D6E9B" w:rsidRPr="0070774F">
        <w:trPr>
          <w:cantSplit/>
          <w:jc w:val="center"/>
        </w:trPr>
        <w:tc>
          <w:tcPr>
            <w:tcW w:w="2548" w:type="dxa"/>
            <w:gridSpan w:val="4"/>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Заравняване на подове/стени</w:t>
            </w:r>
          </w:p>
        </w:tc>
        <w:tc>
          <w:tcPr>
            <w:tcW w:w="7108" w:type="dxa"/>
            <w:gridSpan w:val="11"/>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25 kg в зависимост от размера на стаята, стената, която ще се заравнява.</w:t>
            </w:r>
          </w:p>
          <w:p w:rsidR="008D6E9B" w:rsidRPr="00703017" w:rsidRDefault="008D6E9B" w:rsidP="00E72338">
            <w:pPr>
              <w:spacing w:line="240" w:lineRule="auto"/>
              <w:rPr>
                <w:rFonts w:ascii="Arial" w:hAnsi="Arial" w:cs="Arial"/>
                <w:sz w:val="16"/>
                <w:szCs w:val="16"/>
                <w:lang w:val="bg-BG"/>
              </w:rPr>
            </w:pPr>
          </w:p>
        </w:tc>
      </w:tr>
      <w:tr w:rsidR="008D6E9B" w:rsidRPr="0070774F">
        <w:trPr>
          <w:cantSplit/>
          <w:jc w:val="center"/>
        </w:trPr>
        <w:tc>
          <w:tcPr>
            <w:tcW w:w="9656" w:type="dxa"/>
            <w:gridSpan w:val="15"/>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lastRenderedPageBreak/>
              <w:t>Честота и продължителност на употребата/експозицията</w:t>
            </w:r>
          </w:p>
        </w:tc>
      </w:tr>
      <w:tr w:rsidR="008D6E9B" w:rsidRPr="00703017">
        <w:trPr>
          <w:cantSplit/>
          <w:jc w:val="center"/>
        </w:trPr>
        <w:tc>
          <w:tcPr>
            <w:tcW w:w="3202" w:type="dxa"/>
            <w:gridSpan w:val="6"/>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 xml:space="preserve">Описание на задачата </w:t>
            </w:r>
          </w:p>
        </w:tc>
        <w:tc>
          <w:tcPr>
            <w:tcW w:w="3222" w:type="dxa"/>
            <w:gridSpan w:val="6"/>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Продължителност на експозицията на събитие</w:t>
            </w:r>
          </w:p>
        </w:tc>
        <w:tc>
          <w:tcPr>
            <w:tcW w:w="3232" w:type="dxa"/>
            <w:gridSpan w:val="3"/>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честота на събитията</w:t>
            </w:r>
          </w:p>
        </w:tc>
      </w:tr>
      <w:tr w:rsidR="008D6E9B" w:rsidRPr="0070774F">
        <w:trPr>
          <w:cantSplit/>
          <w:jc w:val="center"/>
        </w:trPr>
        <w:tc>
          <w:tcPr>
            <w:tcW w:w="3202" w:type="dxa"/>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Смесване и товарене на съдържащи прах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c>
          <w:tcPr>
            <w:tcW w:w="3222" w:type="dxa"/>
            <w:gridSpan w:val="6"/>
            <w:vAlign w:val="center"/>
          </w:tcPr>
          <w:p w:rsidR="008D6E9B" w:rsidRPr="00703017" w:rsidRDefault="008D6E9B" w:rsidP="00E72338">
            <w:pPr>
              <w:spacing w:line="240" w:lineRule="auto"/>
              <w:rPr>
                <w:rFonts w:ascii="Arial" w:hAnsi="Arial" w:cs="Arial"/>
                <w:sz w:val="16"/>
                <w:szCs w:val="16"/>
                <w:lang w:val="bg-BG"/>
              </w:rPr>
            </w:pPr>
            <w:r>
              <w:rPr>
                <w:rFonts w:ascii="Arial" w:hAnsi="Arial" w:cs="Arial"/>
                <w:sz w:val="16"/>
                <w:szCs w:val="16"/>
                <w:lang w:val="bg-BG"/>
              </w:rPr>
              <w:t>1</w:t>
            </w:r>
            <w:r w:rsidRPr="00373998">
              <w:rPr>
                <w:rFonts w:ascii="Arial" w:hAnsi="Arial" w:cs="Arial"/>
                <w:sz w:val="16"/>
                <w:szCs w:val="16"/>
                <w:lang w:val="bg-BG"/>
              </w:rPr>
              <w:t>,</w:t>
            </w:r>
            <w:r w:rsidRPr="00703017">
              <w:rPr>
                <w:rFonts w:ascii="Arial" w:hAnsi="Arial" w:cs="Arial"/>
                <w:sz w:val="16"/>
                <w:szCs w:val="16"/>
                <w:lang w:val="bg-BG"/>
              </w:rPr>
              <w:t xml:space="preserve">33 min (описание </w:t>
            </w:r>
            <w:r>
              <w:rPr>
                <w:rFonts w:ascii="Arial" w:hAnsi="Arial" w:cs="Arial"/>
                <w:sz w:val="16"/>
                <w:szCs w:val="16"/>
                <w:lang w:val="bg-BG"/>
              </w:rPr>
              <w:t>„Направи си сам</w:t>
            </w:r>
            <w:r w:rsidRPr="00B94FEE">
              <w:rPr>
                <w:rFonts w:ascii="Arial" w:hAnsi="Arial" w:cs="Arial"/>
                <w:sz w:val="16"/>
                <w:szCs w:val="16"/>
                <w:lang w:val="bg-BG"/>
              </w:rPr>
              <w:t>“</w:t>
            </w:r>
            <w:r w:rsidRPr="00703017">
              <w:rPr>
                <w:rFonts w:ascii="Arial" w:hAnsi="Arial" w:cs="Arial"/>
                <w:sz w:val="16"/>
                <w:szCs w:val="16"/>
                <w:lang w:val="bg-BG"/>
              </w:rPr>
              <w:t>, RIVM, Глава 2.4.2 Разбъркване и товарене на прахообразни вещества)</w:t>
            </w:r>
          </w:p>
        </w:tc>
        <w:tc>
          <w:tcPr>
            <w:tcW w:w="3232"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2/година (описание</w:t>
            </w:r>
            <w:r w:rsidRPr="00703017">
              <w:rPr>
                <w:rFonts w:ascii="Arial" w:hAnsi="Arial" w:cs="Arial"/>
                <w:sz w:val="16"/>
                <w:szCs w:val="16"/>
                <w:vertAlign w:val="superscript"/>
                <w:lang w:val="bg-BG"/>
              </w:rPr>
              <w:t>1</w:t>
            </w:r>
            <w:r w:rsidRPr="00703017">
              <w:rPr>
                <w:rFonts w:ascii="Arial" w:hAnsi="Arial" w:cs="Arial"/>
                <w:sz w:val="16"/>
                <w:szCs w:val="16"/>
                <w:lang w:val="bg-BG"/>
              </w:rPr>
              <w:t xml:space="preserve"> </w:t>
            </w:r>
            <w:r>
              <w:rPr>
                <w:rFonts w:ascii="Arial" w:hAnsi="Arial" w:cs="Arial"/>
                <w:sz w:val="16"/>
                <w:szCs w:val="16"/>
                <w:lang w:val="bg-BG"/>
              </w:rPr>
              <w:t>„</w:t>
            </w:r>
            <w:r w:rsidRPr="00703017">
              <w:rPr>
                <w:rFonts w:ascii="Arial" w:hAnsi="Arial" w:cs="Arial"/>
                <w:sz w:val="16"/>
                <w:szCs w:val="16"/>
                <w:lang w:val="bg-BG"/>
              </w:rPr>
              <w:t>Направи си сам”)</w:t>
            </w:r>
          </w:p>
        </w:tc>
      </w:tr>
      <w:tr w:rsidR="008D6E9B" w:rsidRPr="0070774F">
        <w:trPr>
          <w:cantSplit/>
          <w:jc w:val="center"/>
        </w:trPr>
        <w:tc>
          <w:tcPr>
            <w:tcW w:w="3202" w:type="dxa"/>
            <w:gridSpan w:val="6"/>
            <w:vAlign w:val="center"/>
          </w:tcPr>
          <w:p w:rsidR="008D6E9B" w:rsidRPr="00703017" w:rsidRDefault="008D6E9B" w:rsidP="00B77F9C">
            <w:pPr>
              <w:spacing w:line="240" w:lineRule="auto"/>
              <w:rPr>
                <w:rFonts w:ascii="Arial" w:hAnsi="Arial" w:cs="Arial"/>
                <w:sz w:val="16"/>
                <w:szCs w:val="16"/>
                <w:lang w:val="bg-BG"/>
              </w:rPr>
            </w:pPr>
            <w:r w:rsidRPr="00703017">
              <w:rPr>
                <w:rFonts w:ascii="Arial" w:hAnsi="Arial" w:cs="Arial"/>
                <w:sz w:val="16"/>
                <w:szCs w:val="16"/>
                <w:lang w:val="bg-BG"/>
              </w:rPr>
              <w:t>Използване на варов разтвор, замазка или шпакловка на стени и тавани</w:t>
            </w:r>
          </w:p>
        </w:tc>
        <w:tc>
          <w:tcPr>
            <w:tcW w:w="3222" w:type="dxa"/>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Няколко минути - часове</w:t>
            </w:r>
          </w:p>
        </w:tc>
        <w:tc>
          <w:tcPr>
            <w:tcW w:w="3232"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2/година (описание</w:t>
            </w:r>
            <w:r w:rsidRPr="00703017">
              <w:rPr>
                <w:rFonts w:ascii="Arial" w:hAnsi="Arial" w:cs="Arial"/>
                <w:sz w:val="16"/>
                <w:szCs w:val="16"/>
                <w:vertAlign w:val="superscript"/>
                <w:lang w:val="bg-BG"/>
              </w:rPr>
              <w:t>1</w:t>
            </w:r>
            <w:r w:rsidRPr="00703017">
              <w:rPr>
                <w:rFonts w:ascii="Arial" w:hAnsi="Arial" w:cs="Arial"/>
                <w:sz w:val="16"/>
                <w:szCs w:val="16"/>
                <w:lang w:val="bg-BG"/>
              </w:rPr>
              <w:t xml:space="preserve"> </w:t>
            </w:r>
            <w:r>
              <w:rPr>
                <w:rFonts w:ascii="Arial" w:hAnsi="Arial" w:cs="Arial"/>
                <w:sz w:val="16"/>
                <w:szCs w:val="16"/>
                <w:lang w:val="bg-BG"/>
              </w:rPr>
              <w:t>„</w:t>
            </w:r>
            <w:r w:rsidRPr="00703017">
              <w:rPr>
                <w:rFonts w:ascii="Arial" w:hAnsi="Arial" w:cs="Arial"/>
                <w:sz w:val="16"/>
                <w:szCs w:val="16"/>
                <w:lang w:val="bg-BG"/>
              </w:rPr>
              <w:t>Направи си сам”)</w:t>
            </w:r>
          </w:p>
        </w:tc>
      </w:tr>
      <w:tr w:rsidR="008D6E9B" w:rsidRPr="0070774F">
        <w:trPr>
          <w:cantSplit/>
          <w:jc w:val="center"/>
        </w:trPr>
        <w:tc>
          <w:tcPr>
            <w:tcW w:w="9656" w:type="dxa"/>
            <w:gridSpan w:val="15"/>
            <w:shd w:val="clear" w:color="auto" w:fill="C0C0C0"/>
            <w:vAlign w:val="center"/>
          </w:tcPr>
          <w:p w:rsidR="008D6E9B" w:rsidRPr="00703017" w:rsidRDefault="008D6E9B" w:rsidP="00E72338">
            <w:pPr>
              <w:keepNext/>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 xml:space="preserve">Човешки фактори, които не се влияят от управлението на риска  </w:t>
            </w:r>
          </w:p>
        </w:tc>
      </w:tr>
      <w:tr w:rsidR="008D6E9B" w:rsidRPr="0070774F">
        <w:trPr>
          <w:cantSplit/>
          <w:jc w:val="center"/>
        </w:trPr>
        <w:tc>
          <w:tcPr>
            <w:tcW w:w="1917" w:type="dxa"/>
            <w:gridSpan w:val="2"/>
            <w:vAlign w:val="center"/>
          </w:tcPr>
          <w:p w:rsidR="008D6E9B" w:rsidRPr="00703017" w:rsidRDefault="008D6E9B"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Описание на задачата</w:t>
            </w:r>
          </w:p>
        </w:tc>
        <w:tc>
          <w:tcPr>
            <w:tcW w:w="1929" w:type="dxa"/>
            <w:gridSpan w:val="6"/>
            <w:vAlign w:val="center"/>
          </w:tcPr>
          <w:p w:rsidR="008D6E9B" w:rsidRPr="00703017" w:rsidRDefault="008D6E9B"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Брой изложени</w:t>
            </w:r>
          </w:p>
        </w:tc>
        <w:tc>
          <w:tcPr>
            <w:tcW w:w="1810" w:type="dxa"/>
            <w:gridSpan w:val="3"/>
            <w:vAlign w:val="center"/>
          </w:tcPr>
          <w:p w:rsidR="008D6E9B" w:rsidRPr="00703017" w:rsidRDefault="008D6E9B"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Скорост на дишане</w:t>
            </w:r>
          </w:p>
        </w:tc>
        <w:tc>
          <w:tcPr>
            <w:tcW w:w="2053" w:type="dxa"/>
            <w:gridSpan w:val="3"/>
            <w:vAlign w:val="center"/>
          </w:tcPr>
          <w:p w:rsidR="008D6E9B" w:rsidRPr="00703017" w:rsidRDefault="008D6E9B"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Изложена част на тялото</w:t>
            </w:r>
          </w:p>
        </w:tc>
        <w:tc>
          <w:tcPr>
            <w:tcW w:w="1947" w:type="dxa"/>
            <w:vAlign w:val="center"/>
          </w:tcPr>
          <w:p w:rsidR="008D6E9B" w:rsidRPr="00703017" w:rsidRDefault="008D6E9B"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Съответстваща площ от кожата [cm²]</w:t>
            </w:r>
          </w:p>
        </w:tc>
      </w:tr>
      <w:tr w:rsidR="008D6E9B" w:rsidRPr="0070774F">
        <w:trPr>
          <w:cantSplit/>
          <w:jc w:val="center"/>
        </w:trPr>
        <w:tc>
          <w:tcPr>
            <w:tcW w:w="1917" w:type="dxa"/>
            <w:gridSpan w:val="2"/>
            <w:vAlign w:val="center"/>
          </w:tcPr>
          <w:p w:rsidR="008D6E9B" w:rsidRPr="00703017" w:rsidRDefault="008D6E9B" w:rsidP="00E72338">
            <w:pPr>
              <w:keepNext/>
              <w:spacing w:line="240" w:lineRule="auto"/>
              <w:rPr>
                <w:rFonts w:ascii="Arial" w:hAnsi="Arial" w:cs="Arial"/>
                <w:sz w:val="16"/>
                <w:szCs w:val="16"/>
                <w:lang w:val="bg-BG"/>
              </w:rPr>
            </w:pPr>
            <w:r w:rsidRPr="00703017">
              <w:rPr>
                <w:rFonts w:ascii="Arial" w:hAnsi="Arial" w:cs="Arial"/>
                <w:sz w:val="16"/>
                <w:szCs w:val="16"/>
                <w:lang w:val="bg-BG"/>
              </w:rPr>
              <w:t xml:space="preserve">Работа с прахообразни </w:t>
            </w:r>
          </w:p>
        </w:tc>
        <w:tc>
          <w:tcPr>
            <w:tcW w:w="1929" w:type="dxa"/>
            <w:gridSpan w:val="6"/>
            <w:vAlign w:val="center"/>
          </w:tcPr>
          <w:p w:rsidR="008D6E9B" w:rsidRPr="00703017" w:rsidRDefault="008D6E9B" w:rsidP="00E72338">
            <w:pPr>
              <w:keepNext/>
              <w:spacing w:line="240" w:lineRule="auto"/>
              <w:rPr>
                <w:rFonts w:ascii="Arial" w:hAnsi="Arial" w:cs="Arial"/>
                <w:sz w:val="16"/>
                <w:szCs w:val="16"/>
                <w:lang w:val="bg-BG"/>
              </w:rPr>
            </w:pPr>
            <w:r w:rsidRPr="00703017">
              <w:rPr>
                <w:rFonts w:ascii="Arial" w:hAnsi="Arial" w:cs="Arial"/>
                <w:sz w:val="16"/>
                <w:szCs w:val="16"/>
                <w:lang w:val="bg-BG"/>
              </w:rPr>
              <w:t>Възрастен</w:t>
            </w:r>
          </w:p>
        </w:tc>
        <w:tc>
          <w:tcPr>
            <w:tcW w:w="1810" w:type="dxa"/>
            <w:gridSpan w:val="3"/>
            <w:vAlign w:val="center"/>
          </w:tcPr>
          <w:p w:rsidR="008D6E9B" w:rsidRPr="00B77F9C" w:rsidRDefault="008D6E9B" w:rsidP="00B77F9C">
            <w:pPr>
              <w:keepNext/>
              <w:spacing w:line="240" w:lineRule="auto"/>
              <w:rPr>
                <w:rFonts w:ascii="Arial" w:hAnsi="Arial" w:cs="Arial"/>
                <w:sz w:val="16"/>
                <w:szCs w:val="16"/>
                <w:lang w:val="de-DE"/>
              </w:rPr>
            </w:pPr>
            <w:r>
              <w:rPr>
                <w:rFonts w:ascii="Arial" w:hAnsi="Arial" w:cs="Arial"/>
                <w:sz w:val="16"/>
                <w:szCs w:val="16"/>
                <w:lang w:val="bg-BG"/>
              </w:rPr>
              <w:t>1</w:t>
            </w:r>
            <w:r>
              <w:rPr>
                <w:rFonts w:ascii="Arial" w:hAnsi="Arial" w:cs="Arial"/>
                <w:sz w:val="16"/>
                <w:szCs w:val="16"/>
                <w:lang w:val="de-DE"/>
              </w:rPr>
              <w:t>,</w:t>
            </w:r>
            <w:r w:rsidRPr="00703017">
              <w:rPr>
                <w:rFonts w:ascii="Arial" w:hAnsi="Arial" w:cs="Arial"/>
                <w:sz w:val="16"/>
                <w:szCs w:val="16"/>
                <w:lang w:val="bg-BG"/>
              </w:rPr>
              <w:t>25 m³/</w:t>
            </w:r>
            <w:r>
              <w:rPr>
                <w:rFonts w:ascii="Arial" w:hAnsi="Arial" w:cs="Arial"/>
                <w:sz w:val="16"/>
                <w:szCs w:val="16"/>
                <w:lang w:val="de-DE"/>
              </w:rPr>
              <w:t>hr</w:t>
            </w:r>
          </w:p>
        </w:tc>
        <w:tc>
          <w:tcPr>
            <w:tcW w:w="2053" w:type="dxa"/>
            <w:gridSpan w:val="3"/>
            <w:vAlign w:val="center"/>
          </w:tcPr>
          <w:p w:rsidR="008D6E9B" w:rsidRPr="00703017" w:rsidRDefault="008D6E9B" w:rsidP="00E72338">
            <w:pPr>
              <w:keepNext/>
              <w:spacing w:line="240" w:lineRule="auto"/>
              <w:rPr>
                <w:rFonts w:ascii="Arial" w:hAnsi="Arial" w:cs="Arial"/>
                <w:sz w:val="16"/>
                <w:szCs w:val="16"/>
                <w:lang w:val="bg-BG"/>
              </w:rPr>
            </w:pPr>
            <w:r w:rsidRPr="00703017">
              <w:rPr>
                <w:rFonts w:ascii="Arial" w:hAnsi="Arial" w:cs="Arial"/>
                <w:sz w:val="16"/>
                <w:szCs w:val="16"/>
                <w:lang w:val="bg-BG"/>
              </w:rPr>
              <w:t xml:space="preserve">Половината на двете ръце </w:t>
            </w:r>
          </w:p>
        </w:tc>
        <w:tc>
          <w:tcPr>
            <w:tcW w:w="1947" w:type="dxa"/>
            <w:vAlign w:val="center"/>
          </w:tcPr>
          <w:p w:rsidR="008D6E9B" w:rsidRPr="00703017" w:rsidRDefault="008D6E9B" w:rsidP="00E72338">
            <w:pPr>
              <w:keepNext/>
              <w:spacing w:line="240" w:lineRule="auto"/>
              <w:rPr>
                <w:rFonts w:ascii="Arial" w:hAnsi="Arial" w:cs="Arial"/>
                <w:sz w:val="16"/>
                <w:szCs w:val="16"/>
                <w:lang w:val="bg-BG"/>
              </w:rPr>
            </w:pPr>
            <w:r w:rsidRPr="00703017">
              <w:rPr>
                <w:rFonts w:ascii="Arial" w:hAnsi="Arial" w:cs="Arial"/>
                <w:sz w:val="16"/>
                <w:szCs w:val="16"/>
                <w:lang w:val="bg-BG"/>
              </w:rPr>
              <w:t>430/година (описание</w:t>
            </w:r>
            <w:r w:rsidRPr="00703017">
              <w:rPr>
                <w:rFonts w:ascii="Arial" w:hAnsi="Arial" w:cs="Arial"/>
                <w:sz w:val="16"/>
                <w:szCs w:val="16"/>
                <w:vertAlign w:val="superscript"/>
                <w:lang w:val="bg-BG"/>
              </w:rPr>
              <w:t>1</w:t>
            </w:r>
            <w:r w:rsidRPr="00703017">
              <w:rPr>
                <w:rFonts w:ascii="Arial" w:hAnsi="Arial" w:cs="Arial"/>
                <w:sz w:val="16"/>
                <w:szCs w:val="16"/>
                <w:lang w:val="bg-BG"/>
              </w:rPr>
              <w:t xml:space="preserve"> </w:t>
            </w:r>
            <w:r>
              <w:rPr>
                <w:rFonts w:ascii="Arial" w:hAnsi="Arial" w:cs="Arial"/>
                <w:sz w:val="16"/>
                <w:szCs w:val="16"/>
                <w:lang w:val="bg-BG"/>
              </w:rPr>
              <w:t>„</w:t>
            </w:r>
            <w:r w:rsidRPr="00703017">
              <w:rPr>
                <w:rFonts w:ascii="Arial" w:hAnsi="Arial" w:cs="Arial"/>
                <w:sz w:val="16"/>
                <w:szCs w:val="16"/>
                <w:lang w:val="bg-BG"/>
              </w:rPr>
              <w:t>Направи си сам”)</w:t>
            </w:r>
          </w:p>
        </w:tc>
      </w:tr>
      <w:tr w:rsidR="008D6E9B" w:rsidRPr="0070774F">
        <w:trPr>
          <w:cantSplit/>
          <w:jc w:val="center"/>
        </w:trPr>
        <w:tc>
          <w:tcPr>
            <w:tcW w:w="1917" w:type="dxa"/>
            <w:gridSpan w:val="2"/>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Прилагане на течни продукти и пасти.</w:t>
            </w:r>
          </w:p>
        </w:tc>
        <w:tc>
          <w:tcPr>
            <w:tcW w:w="1929" w:type="dxa"/>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Възрастен</w:t>
            </w:r>
          </w:p>
        </w:tc>
        <w:tc>
          <w:tcPr>
            <w:tcW w:w="1810"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NR</w:t>
            </w:r>
          </w:p>
        </w:tc>
        <w:tc>
          <w:tcPr>
            <w:tcW w:w="2053"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Длани и ръце</w:t>
            </w:r>
          </w:p>
        </w:tc>
        <w:tc>
          <w:tcPr>
            <w:tcW w:w="1947" w:type="dxa"/>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1900/година (описание</w:t>
            </w:r>
            <w:r w:rsidRPr="00703017">
              <w:rPr>
                <w:rFonts w:ascii="Arial" w:hAnsi="Arial" w:cs="Arial"/>
                <w:sz w:val="16"/>
                <w:szCs w:val="16"/>
                <w:vertAlign w:val="superscript"/>
                <w:lang w:val="bg-BG"/>
              </w:rPr>
              <w:t>1</w:t>
            </w:r>
            <w:r w:rsidRPr="00703017">
              <w:rPr>
                <w:rFonts w:ascii="Arial" w:hAnsi="Arial" w:cs="Arial"/>
                <w:sz w:val="16"/>
                <w:szCs w:val="16"/>
                <w:lang w:val="bg-BG"/>
              </w:rPr>
              <w:t xml:space="preserve"> </w:t>
            </w:r>
            <w:r>
              <w:rPr>
                <w:rFonts w:ascii="Arial" w:hAnsi="Arial" w:cs="Arial"/>
                <w:sz w:val="16"/>
                <w:szCs w:val="16"/>
                <w:lang w:val="bg-BG"/>
              </w:rPr>
              <w:t>„</w:t>
            </w:r>
            <w:r w:rsidRPr="00703017">
              <w:rPr>
                <w:rFonts w:ascii="Arial" w:hAnsi="Arial" w:cs="Arial"/>
                <w:sz w:val="16"/>
                <w:szCs w:val="16"/>
                <w:lang w:val="bg-BG"/>
              </w:rPr>
              <w:t>Направи си сам”)</w:t>
            </w:r>
          </w:p>
        </w:tc>
      </w:tr>
      <w:tr w:rsidR="008D6E9B" w:rsidRPr="0070774F">
        <w:trPr>
          <w:cantSplit/>
          <w:jc w:val="center"/>
        </w:trPr>
        <w:tc>
          <w:tcPr>
            <w:tcW w:w="9656" w:type="dxa"/>
            <w:gridSpan w:val="15"/>
            <w:shd w:val="clear" w:color="auto" w:fill="C0C0C0"/>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потребителите</w:t>
            </w:r>
          </w:p>
        </w:tc>
      </w:tr>
      <w:tr w:rsidR="008D6E9B" w:rsidRPr="0070774F">
        <w:trPr>
          <w:cantSplit/>
          <w:jc w:val="center"/>
        </w:trPr>
        <w:tc>
          <w:tcPr>
            <w:tcW w:w="2680" w:type="dxa"/>
            <w:gridSpan w:val="5"/>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 xml:space="preserve">Описание на задачата </w:t>
            </w:r>
          </w:p>
        </w:tc>
        <w:tc>
          <w:tcPr>
            <w:tcW w:w="2321" w:type="dxa"/>
            <w:gridSpan w:val="5"/>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Вътре/вън</w:t>
            </w:r>
          </w:p>
        </w:tc>
        <w:tc>
          <w:tcPr>
            <w:tcW w:w="2322" w:type="dxa"/>
            <w:gridSpan w:val="3"/>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Обем на стаята</w:t>
            </w:r>
          </w:p>
        </w:tc>
        <w:tc>
          <w:tcPr>
            <w:tcW w:w="2333" w:type="dxa"/>
            <w:gridSpan w:val="2"/>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Скорост на обмяна на въздуха</w:t>
            </w:r>
          </w:p>
        </w:tc>
      </w:tr>
      <w:tr w:rsidR="008D6E9B" w:rsidRPr="00703017">
        <w:trPr>
          <w:cantSplit/>
          <w:jc w:val="center"/>
        </w:trPr>
        <w:tc>
          <w:tcPr>
            <w:tcW w:w="2680" w:type="dxa"/>
            <w:gridSpan w:val="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Работа с прахообразни </w:t>
            </w:r>
          </w:p>
        </w:tc>
        <w:tc>
          <w:tcPr>
            <w:tcW w:w="2321" w:type="dxa"/>
            <w:gridSpan w:val="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вътре</w:t>
            </w:r>
          </w:p>
        </w:tc>
        <w:tc>
          <w:tcPr>
            <w:tcW w:w="2322"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1 m³ (лично място, малко площ около потребителя)</w:t>
            </w:r>
          </w:p>
        </w:tc>
        <w:tc>
          <w:tcPr>
            <w:tcW w:w="2333" w:type="dxa"/>
            <w:gridSpan w:val="2"/>
            <w:vAlign w:val="center"/>
          </w:tcPr>
          <w:p w:rsidR="008D6E9B" w:rsidRPr="00703017" w:rsidRDefault="008D6E9B" w:rsidP="00E72338">
            <w:pPr>
              <w:spacing w:line="240" w:lineRule="auto"/>
              <w:rPr>
                <w:rFonts w:ascii="Arial" w:hAnsi="Arial" w:cs="Arial"/>
                <w:sz w:val="16"/>
                <w:szCs w:val="16"/>
                <w:lang w:val="bg-BG"/>
              </w:rPr>
            </w:pPr>
            <w:r>
              <w:rPr>
                <w:rFonts w:ascii="Arial" w:hAnsi="Arial" w:cs="Arial"/>
                <w:sz w:val="16"/>
                <w:szCs w:val="16"/>
                <w:lang w:val="bg-BG"/>
              </w:rPr>
              <w:t>0</w:t>
            </w:r>
            <w:r>
              <w:rPr>
                <w:rFonts w:ascii="Arial" w:hAnsi="Arial" w:cs="Arial"/>
                <w:sz w:val="16"/>
                <w:szCs w:val="16"/>
                <w:lang w:val="de-DE"/>
              </w:rPr>
              <w:t>,</w:t>
            </w:r>
            <w:r w:rsidRPr="00703017">
              <w:rPr>
                <w:rFonts w:ascii="Arial" w:hAnsi="Arial" w:cs="Arial"/>
                <w:sz w:val="16"/>
                <w:szCs w:val="16"/>
                <w:lang w:val="bg-BG"/>
              </w:rPr>
              <w:t>6 часа</w:t>
            </w:r>
            <w:r w:rsidRPr="00703017">
              <w:rPr>
                <w:rFonts w:ascii="Arial" w:hAnsi="Arial" w:cs="Arial"/>
                <w:sz w:val="16"/>
                <w:szCs w:val="16"/>
                <w:vertAlign w:val="superscript"/>
                <w:lang w:val="bg-BG"/>
              </w:rPr>
              <w:t>-1</w:t>
            </w:r>
            <w:r w:rsidRPr="00703017">
              <w:rPr>
                <w:rFonts w:ascii="Arial" w:hAnsi="Arial" w:cs="Arial"/>
                <w:sz w:val="16"/>
                <w:szCs w:val="16"/>
                <w:lang w:val="bg-BG"/>
              </w:rPr>
              <w:t xml:space="preserve"> (неопределена стая)</w:t>
            </w:r>
          </w:p>
        </w:tc>
      </w:tr>
      <w:tr w:rsidR="008D6E9B" w:rsidRPr="00703017">
        <w:trPr>
          <w:cantSplit/>
          <w:jc w:val="center"/>
        </w:trPr>
        <w:tc>
          <w:tcPr>
            <w:tcW w:w="2680" w:type="dxa"/>
            <w:gridSpan w:val="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Прилагане на течни продукти и пасти.</w:t>
            </w:r>
          </w:p>
        </w:tc>
        <w:tc>
          <w:tcPr>
            <w:tcW w:w="2321" w:type="dxa"/>
            <w:gridSpan w:val="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вътре</w:t>
            </w:r>
          </w:p>
        </w:tc>
        <w:tc>
          <w:tcPr>
            <w:tcW w:w="2322"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NR</w:t>
            </w:r>
          </w:p>
        </w:tc>
        <w:tc>
          <w:tcPr>
            <w:tcW w:w="2333" w:type="dxa"/>
            <w:gridSpan w:val="2"/>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NR</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Условия и мерки за информиране и съвети за поведението на потребителя</w:t>
            </w:r>
          </w:p>
        </w:tc>
      </w:tr>
      <w:tr w:rsidR="008D6E9B" w:rsidRPr="0070774F">
        <w:trPr>
          <w:cantSplit/>
          <w:jc w:val="center"/>
        </w:trPr>
        <w:tc>
          <w:tcPr>
            <w:tcW w:w="9656" w:type="dxa"/>
            <w:gridSpan w:val="15"/>
            <w:vAlign w:val="center"/>
          </w:tcPr>
          <w:p w:rsidR="008D6E9B" w:rsidRPr="00703017" w:rsidRDefault="008D6E9B" w:rsidP="00E72338">
            <w:pPr>
              <w:spacing w:line="240" w:lineRule="auto"/>
              <w:rPr>
                <w:rFonts w:ascii="Arial" w:hAnsi="Arial" w:cs="Arial"/>
                <w:sz w:val="16"/>
                <w:szCs w:val="16"/>
                <w:lang w:val="bg-BG" w:eastAsia="de-DE"/>
              </w:rPr>
            </w:pPr>
            <w:r w:rsidRPr="00703017">
              <w:rPr>
                <w:rFonts w:ascii="Arial" w:hAnsi="Arial" w:cs="Arial"/>
                <w:sz w:val="16"/>
                <w:szCs w:val="16"/>
                <w:lang w:val="bg-BG"/>
              </w:rPr>
              <w:t xml:space="preserve">За да не навредят на здравето си, занимаващите се с </w:t>
            </w:r>
            <w:r>
              <w:rPr>
                <w:rFonts w:ascii="Arial" w:hAnsi="Arial" w:cs="Arial"/>
                <w:sz w:val="16"/>
                <w:szCs w:val="16"/>
                <w:lang w:val="bg-BG"/>
              </w:rPr>
              <w:t>„</w:t>
            </w:r>
            <w:r w:rsidRPr="00703017">
              <w:rPr>
                <w:rFonts w:ascii="Arial" w:hAnsi="Arial" w:cs="Arial"/>
                <w:sz w:val="16"/>
                <w:szCs w:val="16"/>
                <w:lang w:val="bg-BG"/>
              </w:rPr>
              <w:t>направи си сам</w:t>
            </w:r>
            <w:r>
              <w:rPr>
                <w:rFonts w:ascii="Arial" w:hAnsi="Arial" w:cs="Arial"/>
                <w:sz w:val="16"/>
                <w:szCs w:val="16"/>
                <w:lang w:val="bg-BG"/>
              </w:rPr>
              <w:t>“</w:t>
            </w:r>
            <w:r w:rsidRPr="00703017">
              <w:rPr>
                <w:rFonts w:ascii="Arial" w:hAnsi="Arial" w:cs="Arial"/>
                <w:sz w:val="16"/>
                <w:szCs w:val="16"/>
                <w:lang w:val="bg-BG"/>
              </w:rPr>
              <w:t xml:space="preserve"> трябва да спазват някои стриктни предпазни мерки, които се отнасят и до професионалните работни места:</w:t>
            </w:r>
          </w:p>
          <w:p w:rsidR="008D6E9B" w:rsidRPr="00703017" w:rsidRDefault="008D6E9B" w:rsidP="00E72338">
            <w:pPr>
              <w:numPr>
                <w:ilvl w:val="0"/>
                <w:numId w:val="5"/>
              </w:numPr>
              <w:spacing w:line="240" w:lineRule="auto"/>
              <w:rPr>
                <w:rFonts w:ascii="Arial" w:hAnsi="Arial" w:cs="Arial"/>
                <w:sz w:val="16"/>
                <w:szCs w:val="16"/>
                <w:lang w:val="bg-BG" w:eastAsia="de-DE"/>
              </w:rPr>
            </w:pPr>
            <w:r w:rsidRPr="00703017">
              <w:rPr>
                <w:rFonts w:ascii="Arial" w:hAnsi="Arial" w:cs="Arial"/>
                <w:sz w:val="16"/>
                <w:szCs w:val="16"/>
                <w:lang w:val="bg-BG"/>
              </w:rPr>
              <w:t>Веднага сменете мокрите дрехи, обувки и ръкавици.</w:t>
            </w:r>
          </w:p>
          <w:p w:rsidR="008D6E9B" w:rsidRPr="00703017" w:rsidRDefault="008D6E9B" w:rsidP="00E72338">
            <w:pPr>
              <w:numPr>
                <w:ilvl w:val="0"/>
                <w:numId w:val="6"/>
              </w:numPr>
              <w:spacing w:line="240" w:lineRule="auto"/>
              <w:rPr>
                <w:rFonts w:ascii="Arial" w:hAnsi="Arial" w:cs="Arial"/>
                <w:i/>
                <w:iCs/>
                <w:sz w:val="16"/>
                <w:szCs w:val="16"/>
                <w:lang w:val="bg-BG" w:eastAsia="de-DE"/>
              </w:rPr>
            </w:pPr>
            <w:r w:rsidRPr="00703017">
              <w:rPr>
                <w:rFonts w:ascii="Arial" w:hAnsi="Arial" w:cs="Arial"/>
                <w:sz w:val="16"/>
                <w:szCs w:val="16"/>
                <w:lang w:val="bg-BG"/>
              </w:rPr>
              <w:t xml:space="preserve">Защитете непокритата част на кожата (ръце, крака, лице): има различни ефективни продукти за защита на кожата, които трябва да се използват в съответствие с план за защита на кожата (защита на кожата, почистване и допълнителни грижи). Почистете основно кожата след работа и я намажете с подходящ продукт. </w:t>
            </w:r>
          </w:p>
        </w:tc>
      </w:tr>
      <w:tr w:rsidR="008D6E9B" w:rsidRPr="0070774F">
        <w:trPr>
          <w:cantSplit/>
          <w:jc w:val="center"/>
        </w:trPr>
        <w:tc>
          <w:tcPr>
            <w:tcW w:w="9656" w:type="dxa"/>
            <w:gridSpan w:val="15"/>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за лична защита и хигиена</w:t>
            </w:r>
          </w:p>
        </w:tc>
      </w:tr>
      <w:tr w:rsidR="008D6E9B" w:rsidRPr="0070774F">
        <w:trPr>
          <w:cantSplit/>
          <w:jc w:val="center"/>
        </w:trPr>
        <w:tc>
          <w:tcPr>
            <w:tcW w:w="9656" w:type="dxa"/>
            <w:gridSpan w:val="15"/>
            <w:vAlign w:val="center"/>
          </w:tcPr>
          <w:p w:rsidR="008D6E9B" w:rsidRPr="00703017" w:rsidRDefault="008D6E9B" w:rsidP="00E72338">
            <w:pPr>
              <w:spacing w:line="240" w:lineRule="auto"/>
              <w:rPr>
                <w:rFonts w:ascii="Arial" w:hAnsi="Arial" w:cs="Arial"/>
                <w:sz w:val="16"/>
                <w:szCs w:val="16"/>
                <w:lang w:val="bg-BG" w:eastAsia="de-DE"/>
              </w:rPr>
            </w:pPr>
            <w:r w:rsidRPr="00703017">
              <w:rPr>
                <w:rFonts w:ascii="Arial" w:hAnsi="Arial" w:cs="Arial"/>
                <w:sz w:val="16"/>
                <w:szCs w:val="16"/>
                <w:lang w:val="bg-BG"/>
              </w:rPr>
              <w:t xml:space="preserve">За да не навредят на здравето си, занимаващите се с </w:t>
            </w:r>
            <w:r>
              <w:rPr>
                <w:rFonts w:ascii="Arial" w:hAnsi="Arial" w:cs="Arial"/>
                <w:sz w:val="16"/>
                <w:szCs w:val="16"/>
                <w:lang w:val="bg-BG"/>
              </w:rPr>
              <w:t>„</w:t>
            </w:r>
            <w:r w:rsidRPr="00703017">
              <w:rPr>
                <w:rFonts w:ascii="Arial" w:hAnsi="Arial" w:cs="Arial"/>
                <w:sz w:val="16"/>
                <w:szCs w:val="16"/>
                <w:lang w:val="bg-BG"/>
              </w:rPr>
              <w:t>направи си сам</w:t>
            </w:r>
            <w:r>
              <w:rPr>
                <w:rFonts w:ascii="Arial" w:hAnsi="Arial" w:cs="Arial"/>
                <w:sz w:val="16"/>
                <w:szCs w:val="16"/>
                <w:lang w:val="bg-BG"/>
              </w:rPr>
              <w:t>“</w:t>
            </w:r>
            <w:r w:rsidRPr="00703017">
              <w:rPr>
                <w:rFonts w:ascii="Arial" w:hAnsi="Arial" w:cs="Arial"/>
                <w:sz w:val="16"/>
                <w:szCs w:val="16"/>
                <w:lang w:val="bg-BG"/>
              </w:rPr>
              <w:t xml:space="preserve"> трябва да спазват някои стриктни предпазни мерки, които се отнасят и до професионалните работни места:</w:t>
            </w:r>
          </w:p>
          <w:p w:rsidR="008D6E9B" w:rsidRPr="00703017" w:rsidRDefault="008D6E9B" w:rsidP="00E72338">
            <w:pPr>
              <w:numPr>
                <w:ilvl w:val="0"/>
                <w:numId w:val="7"/>
              </w:numPr>
              <w:spacing w:line="240" w:lineRule="auto"/>
              <w:rPr>
                <w:rFonts w:ascii="Arial" w:hAnsi="Arial" w:cs="Arial"/>
                <w:sz w:val="16"/>
                <w:szCs w:val="16"/>
                <w:lang w:val="bg-BG" w:eastAsia="de-DE"/>
              </w:rPr>
            </w:pPr>
            <w:r w:rsidRPr="00703017">
              <w:rPr>
                <w:rFonts w:ascii="Arial" w:hAnsi="Arial" w:cs="Arial"/>
                <w:sz w:val="16"/>
                <w:szCs w:val="16"/>
                <w:lang w:val="bg-BG"/>
              </w:rPr>
              <w:t xml:space="preserve">Когато приготвяте или смесвате строителни материали, при разрушаване или запушване на отвори и преди всичко, когато работите над главата си, носете защитни очила и маски за лицето при извършване на запрашени дейности. </w:t>
            </w:r>
          </w:p>
          <w:p w:rsidR="008D6E9B" w:rsidRPr="00703017" w:rsidRDefault="008D6E9B" w:rsidP="00E72338">
            <w:pPr>
              <w:numPr>
                <w:ilvl w:val="0"/>
                <w:numId w:val="7"/>
              </w:numPr>
              <w:spacing w:line="240" w:lineRule="auto"/>
              <w:rPr>
                <w:rFonts w:ascii="Arial" w:hAnsi="Arial" w:cs="Arial"/>
                <w:sz w:val="16"/>
                <w:szCs w:val="16"/>
                <w:lang w:val="bg-BG" w:eastAsia="de-DE"/>
              </w:rPr>
            </w:pPr>
            <w:r w:rsidRPr="00703017">
              <w:rPr>
                <w:rFonts w:ascii="Arial" w:hAnsi="Arial" w:cs="Arial"/>
                <w:sz w:val="16"/>
                <w:szCs w:val="16"/>
                <w:lang w:val="bg-BG"/>
              </w:rPr>
              <w:t>Изберете внимателно работните ръкавици. Кожените ръкавици се намокрят и улесняват изгарянията. Когато работите във мокра среда, по-добре използвайте памучни ръкавици с пластмасово покритие (нитрилни). Носете дълги предпазни ръкавици при работа над главата си, защото те могат значително да намалят влагата, когато се просмуква в работните дрехи.</w:t>
            </w:r>
          </w:p>
        </w:tc>
      </w:tr>
      <w:tr w:rsidR="008D6E9B" w:rsidRPr="0070774F">
        <w:trPr>
          <w:cantSplit/>
          <w:jc w:val="center"/>
        </w:trPr>
        <w:tc>
          <w:tcPr>
            <w:tcW w:w="9656" w:type="dxa"/>
            <w:gridSpan w:val="15"/>
            <w:shd w:val="clear" w:color="auto" w:fill="00FFFF"/>
            <w:vAlign w:val="center"/>
          </w:tcPr>
          <w:p w:rsidR="008D6E9B" w:rsidRPr="00703017" w:rsidRDefault="008D6E9B"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lang w:val="bg-BG"/>
              </w:rPr>
              <w:t>2.2 Контрол на експозицията за околната среда</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Характеристика на продукта</w:t>
            </w:r>
          </w:p>
        </w:tc>
      </w:tr>
      <w:tr w:rsidR="008D6E9B" w:rsidRPr="00703017">
        <w:trPr>
          <w:cantSplit/>
          <w:jc w:val="center"/>
        </w:trPr>
        <w:tc>
          <w:tcPr>
            <w:tcW w:w="9656" w:type="dxa"/>
            <w:gridSpan w:val="1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Използвани количества*</w:t>
            </w:r>
          </w:p>
        </w:tc>
      </w:tr>
      <w:tr w:rsidR="008D6E9B" w:rsidRPr="00703017">
        <w:trPr>
          <w:cantSplit/>
          <w:jc w:val="center"/>
        </w:trPr>
        <w:tc>
          <w:tcPr>
            <w:tcW w:w="9656" w:type="dxa"/>
            <w:gridSpan w:val="15"/>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Честота и продължителност на употребата</w:t>
            </w:r>
          </w:p>
        </w:tc>
      </w:tr>
      <w:tr w:rsidR="008D6E9B" w:rsidRPr="00703017">
        <w:trPr>
          <w:cantSplit/>
          <w:jc w:val="center"/>
        </w:trPr>
        <w:tc>
          <w:tcPr>
            <w:tcW w:w="9656" w:type="dxa"/>
            <w:gridSpan w:val="15"/>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15"/>
            <w:shd w:val="clear" w:color="auto" w:fill="CCCCCC"/>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 xml:space="preserve">Фактори на околната среда, които не се влияят от управлението на риска  </w:t>
            </w:r>
          </w:p>
        </w:tc>
      </w:tr>
      <w:tr w:rsidR="008D6E9B" w:rsidRPr="00703017">
        <w:trPr>
          <w:cantSplit/>
          <w:jc w:val="center"/>
        </w:trPr>
        <w:tc>
          <w:tcPr>
            <w:tcW w:w="9656" w:type="dxa"/>
            <w:gridSpan w:val="1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Речен поток по презумпция и разливане</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rPr>
          <w:cantSplit/>
          <w:jc w:val="center"/>
        </w:trPr>
        <w:tc>
          <w:tcPr>
            <w:tcW w:w="9656" w:type="dxa"/>
            <w:gridSpan w:val="1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Вътре</w:t>
            </w:r>
          </w:p>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Избягва се директно изпускане в отходните води.</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свързани с общинските ПСОВ</w:t>
            </w:r>
          </w:p>
        </w:tc>
      </w:tr>
      <w:tr w:rsidR="008D6E9B" w:rsidRPr="00703017">
        <w:trPr>
          <w:cantSplit/>
          <w:jc w:val="center"/>
        </w:trPr>
        <w:tc>
          <w:tcPr>
            <w:tcW w:w="9656" w:type="dxa"/>
            <w:gridSpan w:val="1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Размер по презумпция на общинската канализационна система/ПСОВ и техника за обработване на утайката </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 xml:space="preserve">Условия и мерки, свързани с външното третиране на отпадъците за депониране </w:t>
            </w:r>
          </w:p>
        </w:tc>
      </w:tr>
      <w:tr w:rsidR="008D6E9B" w:rsidRPr="00703017">
        <w:trPr>
          <w:cantSplit/>
          <w:jc w:val="center"/>
        </w:trPr>
        <w:tc>
          <w:tcPr>
            <w:tcW w:w="9656" w:type="dxa"/>
            <w:gridSpan w:val="15"/>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Условия и мерки, свързани с външното регенериране на отпадъците</w:t>
            </w:r>
          </w:p>
        </w:tc>
      </w:tr>
      <w:tr w:rsidR="008D6E9B" w:rsidRPr="00703017">
        <w:trPr>
          <w:cantSplit/>
          <w:jc w:val="center"/>
        </w:trPr>
        <w:tc>
          <w:tcPr>
            <w:tcW w:w="9656" w:type="dxa"/>
            <w:gridSpan w:val="1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за оценка на експозицията</w:t>
            </w:r>
          </w:p>
          <w:p w:rsidR="008D6E9B" w:rsidRPr="00703017" w:rsidRDefault="008D6E9B" w:rsidP="00E72338">
            <w:pPr>
              <w:spacing w:line="240" w:lineRule="auto"/>
              <w:rPr>
                <w:rFonts w:ascii="Arial" w:hAnsi="Arial" w:cs="Arial"/>
                <w:i/>
                <w:iCs/>
                <w:color w:val="0000FF"/>
                <w:sz w:val="16"/>
                <w:szCs w:val="16"/>
                <w:lang w:val="bg-BG"/>
              </w:rPr>
            </w:pPr>
          </w:p>
        </w:tc>
      </w:tr>
      <w:tr w:rsidR="008D6E9B" w:rsidRPr="00703017">
        <w:trPr>
          <w:cantSplit/>
          <w:jc w:val="center"/>
        </w:trPr>
        <w:tc>
          <w:tcPr>
            <w:tcW w:w="9656" w:type="dxa"/>
            <w:gridSpan w:val="15"/>
            <w:shd w:val="clear" w:color="auto" w:fill="00FFFF"/>
            <w:vAlign w:val="center"/>
          </w:tcPr>
          <w:p w:rsidR="008D6E9B" w:rsidRPr="00703017" w:rsidRDefault="008D6E9B" w:rsidP="00E72338">
            <w:pPr>
              <w:spacing w:line="240" w:lineRule="auto"/>
              <w:rPr>
                <w:rFonts w:ascii="Arial" w:hAnsi="Arial" w:cs="Arial"/>
                <w:i/>
                <w:iCs/>
                <w:color w:val="0000FF"/>
                <w:sz w:val="20"/>
                <w:szCs w:val="20"/>
                <w:lang w:val="bg-BG"/>
              </w:rPr>
            </w:pPr>
            <w:r w:rsidRPr="00703017">
              <w:rPr>
                <w:rFonts w:ascii="Arial" w:hAnsi="Arial" w:cs="Arial"/>
                <w:b/>
                <w:bCs/>
                <w:color w:val="0000FF"/>
                <w:sz w:val="20"/>
                <w:szCs w:val="20"/>
                <w:lang w:val="bg-BG"/>
              </w:rPr>
              <w:t>3. Оценка на експозицията и референция на източника</w:t>
            </w:r>
          </w:p>
        </w:tc>
      </w:tr>
      <w:tr w:rsidR="008D6E9B" w:rsidRPr="0070774F">
        <w:trPr>
          <w:cantSplit/>
          <w:jc w:val="center"/>
        </w:trPr>
        <w:tc>
          <w:tcPr>
            <w:tcW w:w="9656" w:type="dxa"/>
            <w:gridSpan w:val="1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lastRenderedPageBreak/>
              <w:t xml:space="preserve">Съотношението на характеризиране на риска (RCR) е отношение на прецизната оценка на експозицията и съответното DNEL (получено безопасно ниво) и е дадено в скоби по-долу. За експозиция при вдишване, RCR се основава на акутното DNEL за </w:t>
            </w:r>
            <w:r>
              <w:rPr>
                <w:rFonts w:ascii="Arial" w:hAnsi="Arial" w:cs="Arial"/>
                <w:sz w:val="16"/>
                <w:szCs w:val="16"/>
                <w:lang w:val="bg-BG"/>
              </w:rPr>
              <w:t>варови</w:t>
            </w:r>
            <w:r w:rsidRPr="00703017">
              <w:rPr>
                <w:rFonts w:ascii="Arial" w:hAnsi="Arial" w:cs="Arial"/>
                <w:sz w:val="16"/>
                <w:szCs w:val="16"/>
                <w:lang w:val="bg-BG"/>
              </w:rPr>
              <w:t xml:space="preserve"> вещества от 4 mg/m</w:t>
            </w:r>
            <w:r w:rsidRPr="00703017">
              <w:rPr>
                <w:rFonts w:ascii="Arial" w:hAnsi="Arial" w:cs="Arial"/>
                <w:sz w:val="16"/>
                <w:szCs w:val="16"/>
                <w:vertAlign w:val="superscript"/>
                <w:lang w:val="bg-BG"/>
              </w:rPr>
              <w:t>3</w:t>
            </w:r>
            <w:r w:rsidRPr="00703017">
              <w:rPr>
                <w:rFonts w:ascii="Arial" w:hAnsi="Arial" w:cs="Arial"/>
                <w:sz w:val="16"/>
                <w:szCs w:val="16"/>
                <w:lang w:val="bg-BG"/>
              </w:rPr>
              <w:t xml:space="preserve"> (като вдишван прах) и съответната оценка на експозиция при вдишване (като вдишван прах). По този начин, RCR включва една допълнителна граница на сигурност, т</w:t>
            </w:r>
            <w:r>
              <w:rPr>
                <w:rFonts w:ascii="Arial" w:hAnsi="Arial" w:cs="Arial"/>
                <w:sz w:val="16"/>
                <w:szCs w:val="16"/>
                <w:lang w:val="bg-BG"/>
              </w:rPr>
              <w:t>ъй като вдишаната фракция е под</w:t>
            </w:r>
            <w:r w:rsidRPr="00703017">
              <w:rPr>
                <w:rFonts w:ascii="Arial" w:hAnsi="Arial" w:cs="Arial"/>
                <w:sz w:val="16"/>
                <w:szCs w:val="16"/>
                <w:lang w:val="bg-BG"/>
              </w:rPr>
              <w:t>фракция на вдишваната фракция, съгласно EN 481.</w:t>
            </w:r>
          </w:p>
          <w:p w:rsidR="008D6E9B" w:rsidRPr="00703017" w:rsidRDefault="008D6E9B" w:rsidP="00E72338">
            <w:pPr>
              <w:spacing w:line="240" w:lineRule="auto"/>
              <w:rPr>
                <w:rFonts w:ascii="Arial" w:hAnsi="Arial" w:cs="Arial"/>
                <w:i/>
                <w:iCs/>
                <w:sz w:val="16"/>
                <w:szCs w:val="16"/>
                <w:lang w:val="bg-BG"/>
              </w:rPr>
            </w:pPr>
            <w:r w:rsidRPr="00703017">
              <w:rPr>
                <w:rFonts w:ascii="Arial" w:hAnsi="Arial" w:cs="Arial"/>
                <w:sz w:val="16"/>
                <w:szCs w:val="16"/>
                <w:lang w:val="bg-BG"/>
              </w:rPr>
              <w:t>Тъй като варовиците се класифицират като дразнещи кожата и очите, се извърши качествена оценка на дермалната експозиция и експозицията на очите.</w:t>
            </w:r>
          </w:p>
        </w:tc>
      </w:tr>
      <w:tr w:rsidR="008D6E9B" w:rsidRPr="00703017">
        <w:trPr>
          <w:cantSplit/>
          <w:jc w:val="center"/>
        </w:trPr>
        <w:tc>
          <w:tcPr>
            <w:tcW w:w="9656" w:type="dxa"/>
            <w:gridSpan w:val="15"/>
            <w:shd w:val="clear" w:color="auto" w:fill="BFBFBF"/>
            <w:vAlign w:val="center"/>
          </w:tcPr>
          <w:p w:rsidR="008D6E9B" w:rsidRPr="00703017" w:rsidRDefault="008D6E9B"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Човешка експозиция</w:t>
            </w:r>
          </w:p>
        </w:tc>
      </w:tr>
      <w:tr w:rsidR="008D6E9B" w:rsidRPr="00703017">
        <w:trPr>
          <w:cantSplit/>
          <w:jc w:val="center"/>
        </w:trPr>
        <w:tc>
          <w:tcPr>
            <w:tcW w:w="9656" w:type="dxa"/>
            <w:gridSpan w:val="15"/>
            <w:vAlign w:val="center"/>
          </w:tcPr>
          <w:p w:rsidR="008D6E9B" w:rsidRPr="00703017" w:rsidRDefault="008D6E9B"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Работа с прахообразни</w:t>
            </w:r>
          </w:p>
        </w:tc>
      </w:tr>
      <w:tr w:rsidR="008D6E9B" w:rsidRPr="00703017">
        <w:trPr>
          <w:cantSplit/>
          <w:jc w:val="center"/>
        </w:trPr>
        <w:tc>
          <w:tcPr>
            <w:tcW w:w="1699" w:type="dxa"/>
            <w:vAlign w:val="center"/>
          </w:tcPr>
          <w:p w:rsidR="008D6E9B" w:rsidRPr="00703017" w:rsidRDefault="008D6E9B"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Маршрут на експозицията</w:t>
            </w:r>
          </w:p>
        </w:tc>
        <w:tc>
          <w:tcPr>
            <w:tcW w:w="2832" w:type="dxa"/>
            <w:gridSpan w:val="8"/>
            <w:vAlign w:val="center"/>
          </w:tcPr>
          <w:p w:rsidR="008D6E9B" w:rsidRPr="00703017" w:rsidRDefault="008D6E9B"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Оценка на експозиция</w:t>
            </w:r>
          </w:p>
        </w:tc>
        <w:tc>
          <w:tcPr>
            <w:tcW w:w="5125" w:type="dxa"/>
            <w:gridSpan w:val="6"/>
            <w:vAlign w:val="center"/>
          </w:tcPr>
          <w:p w:rsidR="008D6E9B" w:rsidRPr="00703017" w:rsidRDefault="008D6E9B"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Използван метод, коментари</w:t>
            </w:r>
          </w:p>
        </w:tc>
      </w:tr>
      <w:tr w:rsidR="008D6E9B" w:rsidRPr="0070774F">
        <w:trPr>
          <w:cantSplit/>
          <w:jc w:val="center"/>
        </w:trPr>
        <w:tc>
          <w:tcPr>
            <w:tcW w:w="1699" w:type="dxa"/>
            <w:vAlign w:val="center"/>
          </w:tcPr>
          <w:p w:rsidR="008D6E9B" w:rsidRPr="00703017" w:rsidRDefault="008D6E9B" w:rsidP="00E72338">
            <w:pPr>
              <w:keepNext/>
              <w:spacing w:line="240" w:lineRule="auto"/>
              <w:rPr>
                <w:rFonts w:ascii="Arial" w:hAnsi="Arial" w:cs="Arial"/>
                <w:sz w:val="16"/>
                <w:szCs w:val="16"/>
                <w:lang w:val="bg-BG"/>
              </w:rPr>
            </w:pPr>
            <w:r w:rsidRPr="00703017">
              <w:rPr>
                <w:rFonts w:ascii="Arial" w:hAnsi="Arial" w:cs="Arial"/>
                <w:sz w:val="16"/>
                <w:szCs w:val="16"/>
                <w:lang w:val="bg-BG"/>
              </w:rPr>
              <w:t>Орален</w:t>
            </w:r>
          </w:p>
        </w:tc>
        <w:tc>
          <w:tcPr>
            <w:tcW w:w="2832" w:type="dxa"/>
            <w:gridSpan w:val="8"/>
            <w:vAlign w:val="center"/>
          </w:tcPr>
          <w:p w:rsidR="008D6E9B" w:rsidRPr="00703017" w:rsidRDefault="008D6E9B" w:rsidP="00E72338">
            <w:pPr>
              <w:keepNext/>
              <w:spacing w:line="240" w:lineRule="auto"/>
              <w:rPr>
                <w:rFonts w:ascii="Arial" w:hAnsi="Arial" w:cs="Arial"/>
                <w:sz w:val="16"/>
                <w:szCs w:val="16"/>
                <w:lang w:val="bg-BG"/>
              </w:rPr>
            </w:pPr>
            <w:r w:rsidRPr="00703017">
              <w:rPr>
                <w:rFonts w:ascii="Arial" w:hAnsi="Arial" w:cs="Arial"/>
                <w:sz w:val="16"/>
                <w:szCs w:val="16"/>
                <w:lang w:val="bg-BG"/>
              </w:rPr>
              <w:t>-</w:t>
            </w:r>
          </w:p>
        </w:tc>
        <w:tc>
          <w:tcPr>
            <w:tcW w:w="5125" w:type="dxa"/>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Качествена оценка </w:t>
            </w:r>
          </w:p>
          <w:p w:rsidR="008D6E9B" w:rsidRPr="00703017" w:rsidRDefault="008D6E9B" w:rsidP="00E72338">
            <w:pPr>
              <w:keepNext/>
              <w:spacing w:line="240" w:lineRule="auto"/>
              <w:rPr>
                <w:rFonts w:ascii="Arial" w:hAnsi="Arial" w:cs="Arial"/>
                <w:sz w:val="16"/>
                <w:szCs w:val="16"/>
                <w:lang w:val="bg-BG"/>
              </w:rPr>
            </w:pPr>
            <w:r w:rsidRPr="00703017">
              <w:rPr>
                <w:rFonts w:ascii="Arial" w:hAnsi="Arial" w:cs="Arial"/>
                <w:sz w:val="16"/>
                <w:szCs w:val="16"/>
                <w:lang w:val="bg-BG"/>
              </w:rPr>
              <w:t>Не се появява орална експозиция като част от намеренията за употреба.</w:t>
            </w:r>
          </w:p>
        </w:tc>
      </w:tr>
      <w:tr w:rsidR="008D6E9B" w:rsidRPr="0070774F">
        <w:trPr>
          <w:cantSplit/>
          <w:jc w:val="center"/>
        </w:trPr>
        <w:tc>
          <w:tcPr>
            <w:tcW w:w="1699" w:type="dxa"/>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Дермален</w:t>
            </w:r>
          </w:p>
        </w:tc>
        <w:tc>
          <w:tcPr>
            <w:tcW w:w="2832" w:type="dxa"/>
            <w:gridSpan w:val="8"/>
            <w:vAlign w:val="center"/>
          </w:tcPr>
          <w:p w:rsidR="008D6E9B" w:rsidRPr="00703017" w:rsidRDefault="008D6E9B" w:rsidP="00E72338">
            <w:pPr>
              <w:spacing w:line="240" w:lineRule="auto"/>
              <w:rPr>
                <w:rFonts w:ascii="Arial" w:hAnsi="Arial" w:cs="Arial"/>
                <w:sz w:val="16"/>
                <w:szCs w:val="16"/>
                <w:lang w:val="bg-BG"/>
              </w:rPr>
            </w:pPr>
            <w:r>
              <w:rPr>
                <w:rFonts w:ascii="Arial" w:hAnsi="Arial" w:cs="Arial"/>
                <w:sz w:val="16"/>
                <w:szCs w:val="16"/>
                <w:lang w:val="bg-BG"/>
              </w:rPr>
              <w:t>малка задача: 0</w:t>
            </w:r>
            <w:r w:rsidRPr="00A61D7B">
              <w:rPr>
                <w:rFonts w:ascii="Arial" w:hAnsi="Arial" w:cs="Arial"/>
                <w:sz w:val="16"/>
                <w:szCs w:val="16"/>
                <w:lang w:val="bg-BG"/>
              </w:rPr>
              <w:t>,</w:t>
            </w:r>
            <w:r w:rsidRPr="00703017">
              <w:rPr>
                <w:rFonts w:ascii="Arial" w:hAnsi="Arial" w:cs="Arial"/>
                <w:sz w:val="16"/>
                <w:szCs w:val="16"/>
                <w:lang w:val="bg-BG"/>
              </w:rPr>
              <w:t>1 µg/cm² (-)</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голяма задача: 1 µg/cm² (-)</w:t>
            </w:r>
          </w:p>
        </w:tc>
        <w:tc>
          <w:tcPr>
            <w:tcW w:w="5125" w:type="dxa"/>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spacing w:line="240" w:lineRule="auto"/>
              <w:rPr>
                <w:rFonts w:ascii="Arial" w:hAnsi="Arial" w:cs="Arial"/>
                <w:color w:val="000000"/>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Но не може да се изключи кожен контакт с праха при товарене на варовото вещество или директен контакт с варта, ако не носят предпазни ръкавици. В резултат на това </w:t>
            </w:r>
            <w:r w:rsidRPr="00703017">
              <w:rPr>
                <w:rFonts w:ascii="Arial" w:hAnsi="Arial" w:cs="Arial"/>
                <w:color w:val="000000"/>
                <w:sz w:val="16"/>
                <w:szCs w:val="16"/>
                <w:lang w:val="bg-BG"/>
              </w:rPr>
              <w:t>може понякога да се появи леко раздразнение, което лесно се отстрани чрез бърза промивка с вода.</w:t>
            </w:r>
          </w:p>
          <w:p w:rsidR="008D6E9B" w:rsidRPr="00703017" w:rsidRDefault="008D6E9B" w:rsidP="00E72338">
            <w:pPr>
              <w:spacing w:line="240" w:lineRule="auto"/>
              <w:rPr>
                <w:rFonts w:ascii="Arial" w:hAnsi="Arial" w:cs="Arial"/>
                <w:color w:val="000000"/>
                <w:sz w:val="16"/>
                <w:szCs w:val="16"/>
                <w:lang w:val="bg-BG"/>
              </w:rPr>
            </w:pPr>
            <w:r w:rsidRPr="00703017">
              <w:rPr>
                <w:rFonts w:ascii="Arial" w:hAnsi="Arial" w:cs="Arial"/>
                <w:color w:val="000000"/>
                <w:sz w:val="16"/>
                <w:szCs w:val="16"/>
                <w:lang w:val="bg-BG"/>
              </w:rPr>
              <w:t xml:space="preserve">Количествена оценка </w:t>
            </w:r>
          </w:p>
          <w:p w:rsidR="008D6E9B" w:rsidRPr="00703017" w:rsidRDefault="008D6E9B" w:rsidP="00E72338">
            <w:pPr>
              <w:spacing w:line="240" w:lineRule="auto"/>
              <w:rPr>
                <w:rFonts w:ascii="Arial" w:hAnsi="Arial" w:cs="Arial"/>
                <w:sz w:val="16"/>
                <w:szCs w:val="16"/>
                <w:highlight w:val="yellow"/>
                <w:lang w:val="bg-BG"/>
              </w:rPr>
            </w:pPr>
            <w:r w:rsidRPr="00703017">
              <w:rPr>
                <w:rFonts w:ascii="Arial" w:hAnsi="Arial" w:cs="Arial"/>
                <w:color w:val="000000"/>
                <w:sz w:val="16"/>
                <w:szCs w:val="16"/>
                <w:lang w:val="bg-BG"/>
              </w:rPr>
              <w:t xml:space="preserve">Използва се Моделът на постоянната скорост на ConsExpo. </w:t>
            </w:r>
            <w:r w:rsidRPr="00703017">
              <w:rPr>
                <w:rFonts w:ascii="Arial" w:hAnsi="Arial" w:cs="Arial"/>
                <w:sz w:val="16"/>
                <w:szCs w:val="16"/>
                <w:lang w:val="bg-BG"/>
              </w:rPr>
              <w:t xml:space="preserve">Постоянната скорост на прахта, която се формира при изсипване, е взета от описанието на </w:t>
            </w:r>
            <w:r>
              <w:rPr>
                <w:rFonts w:ascii="Arial" w:hAnsi="Arial" w:cs="Arial"/>
                <w:sz w:val="16"/>
                <w:szCs w:val="16"/>
                <w:lang w:val="bg-BG"/>
              </w:rPr>
              <w:t>„</w:t>
            </w:r>
            <w:r w:rsidRPr="00703017">
              <w:rPr>
                <w:rFonts w:ascii="Arial" w:hAnsi="Arial" w:cs="Arial"/>
                <w:sz w:val="16"/>
                <w:szCs w:val="16"/>
                <w:lang w:val="bg-BG"/>
              </w:rPr>
              <w:t>Направи си сам</w:t>
            </w:r>
            <w:r>
              <w:rPr>
                <w:rFonts w:ascii="Arial" w:hAnsi="Arial" w:cs="Arial"/>
                <w:sz w:val="16"/>
                <w:szCs w:val="16"/>
                <w:lang w:val="bg-BG"/>
              </w:rPr>
              <w:t>“</w:t>
            </w:r>
            <w:r w:rsidRPr="00703017">
              <w:rPr>
                <w:rFonts w:ascii="Arial" w:hAnsi="Arial" w:cs="Arial"/>
                <w:sz w:val="16"/>
                <w:szCs w:val="16"/>
                <w:vertAlign w:val="superscript"/>
                <w:lang w:val="bg-BG"/>
              </w:rPr>
              <w:t>1</w:t>
            </w:r>
            <w:r w:rsidRPr="00703017">
              <w:rPr>
                <w:rFonts w:ascii="Arial" w:hAnsi="Arial" w:cs="Arial"/>
                <w:sz w:val="16"/>
                <w:szCs w:val="16"/>
                <w:lang w:val="bg-BG"/>
              </w:rPr>
              <w:t xml:space="preserve"> (RIVM report 320104007).</w:t>
            </w:r>
          </w:p>
        </w:tc>
      </w:tr>
      <w:tr w:rsidR="008D6E9B" w:rsidRPr="0070774F">
        <w:trPr>
          <w:cantSplit/>
          <w:jc w:val="center"/>
        </w:trPr>
        <w:tc>
          <w:tcPr>
            <w:tcW w:w="1699" w:type="dxa"/>
            <w:vAlign w:val="center"/>
          </w:tcPr>
          <w:p w:rsidR="008D6E9B" w:rsidRPr="00703017" w:rsidRDefault="008D6E9B" w:rsidP="00E72338">
            <w:pPr>
              <w:spacing w:line="240" w:lineRule="auto"/>
              <w:rPr>
                <w:rFonts w:ascii="Arial" w:hAnsi="Arial" w:cs="Arial"/>
                <w:sz w:val="16"/>
                <w:szCs w:val="16"/>
                <w:lang w:val="bg-BG"/>
              </w:rPr>
            </w:pPr>
            <w:r w:rsidRPr="00360A16">
              <w:rPr>
                <w:rFonts w:ascii="Arial" w:hAnsi="Arial" w:cs="Arial"/>
                <w:sz w:val="16"/>
                <w:szCs w:val="16"/>
                <w:lang w:val="bg-BG"/>
              </w:rPr>
              <w:t>Очи</w:t>
            </w:r>
          </w:p>
        </w:tc>
        <w:tc>
          <w:tcPr>
            <w:tcW w:w="2832" w:type="dxa"/>
            <w:gridSpan w:val="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Прах</w:t>
            </w:r>
          </w:p>
        </w:tc>
        <w:tc>
          <w:tcPr>
            <w:tcW w:w="5125" w:type="dxa"/>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Прахта от товаренето на </w:t>
            </w:r>
            <w:r>
              <w:rPr>
                <w:rFonts w:ascii="Arial" w:hAnsi="Arial" w:cs="Arial"/>
                <w:sz w:val="16"/>
                <w:szCs w:val="16"/>
                <w:lang w:val="bg-BG"/>
              </w:rPr>
              <w:t>варови</w:t>
            </w:r>
            <w:r w:rsidRPr="00703017">
              <w:rPr>
                <w:rFonts w:ascii="Arial" w:hAnsi="Arial" w:cs="Arial"/>
                <w:sz w:val="16"/>
                <w:szCs w:val="16"/>
                <w:lang w:val="bg-BG"/>
              </w:rPr>
              <w:t xml:space="preserve"> вещества не може да се изключи, освен ако не се носят защитни очила. След инцидентна експозиция се препоръчва бърза промивка с вода и търсене на медицинска помощ.</w:t>
            </w:r>
          </w:p>
        </w:tc>
      </w:tr>
      <w:tr w:rsidR="008D6E9B" w:rsidRPr="0070774F">
        <w:trPr>
          <w:cantSplit/>
          <w:jc w:val="center"/>
        </w:trPr>
        <w:tc>
          <w:tcPr>
            <w:tcW w:w="1699" w:type="dxa"/>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Вдишване</w:t>
            </w:r>
          </w:p>
        </w:tc>
        <w:tc>
          <w:tcPr>
            <w:tcW w:w="2832" w:type="dxa"/>
            <w:gridSpan w:val="8"/>
            <w:vAlign w:val="center"/>
          </w:tcPr>
          <w:p w:rsidR="008D6E9B" w:rsidRPr="00703017" w:rsidRDefault="008D6E9B" w:rsidP="00E72338">
            <w:pPr>
              <w:spacing w:line="240" w:lineRule="auto"/>
              <w:rPr>
                <w:rFonts w:ascii="Arial" w:hAnsi="Arial" w:cs="Arial"/>
                <w:sz w:val="16"/>
                <w:szCs w:val="16"/>
                <w:lang w:val="bg-BG"/>
              </w:rPr>
            </w:pPr>
            <w:r>
              <w:rPr>
                <w:rFonts w:ascii="Arial" w:hAnsi="Arial" w:cs="Arial"/>
                <w:sz w:val="16"/>
                <w:szCs w:val="16"/>
                <w:lang w:val="bg-BG"/>
              </w:rPr>
              <w:t>Малка задача: 12 µg/m³ (0</w:t>
            </w:r>
            <w:r w:rsidRPr="00373998">
              <w:rPr>
                <w:rFonts w:ascii="Arial" w:hAnsi="Arial" w:cs="Arial"/>
                <w:sz w:val="16"/>
                <w:szCs w:val="16"/>
                <w:lang w:val="bg-BG"/>
              </w:rPr>
              <w:t>,</w:t>
            </w:r>
            <w:r w:rsidRPr="00703017">
              <w:rPr>
                <w:rFonts w:ascii="Arial" w:hAnsi="Arial" w:cs="Arial"/>
                <w:sz w:val="16"/>
                <w:szCs w:val="16"/>
                <w:lang w:val="bg-BG"/>
              </w:rPr>
              <w:t>003)</w:t>
            </w:r>
          </w:p>
          <w:p w:rsidR="008D6E9B" w:rsidRPr="00703017" w:rsidRDefault="008D6E9B" w:rsidP="00E72338">
            <w:pPr>
              <w:spacing w:line="240" w:lineRule="auto"/>
              <w:rPr>
                <w:rFonts w:ascii="Arial" w:hAnsi="Arial" w:cs="Arial"/>
                <w:sz w:val="16"/>
                <w:szCs w:val="16"/>
                <w:lang w:val="bg-BG"/>
              </w:rPr>
            </w:pPr>
            <w:r>
              <w:rPr>
                <w:rFonts w:ascii="Arial" w:hAnsi="Arial" w:cs="Arial"/>
                <w:sz w:val="16"/>
                <w:szCs w:val="16"/>
                <w:lang w:val="bg-BG"/>
              </w:rPr>
              <w:t>Голяма задача: 120 µg/m³ (0</w:t>
            </w:r>
            <w:r w:rsidRPr="00373998">
              <w:rPr>
                <w:rFonts w:ascii="Arial" w:hAnsi="Arial" w:cs="Arial"/>
                <w:sz w:val="16"/>
                <w:szCs w:val="16"/>
                <w:lang w:val="bg-BG"/>
              </w:rPr>
              <w:t>,</w:t>
            </w:r>
            <w:r w:rsidRPr="00703017">
              <w:rPr>
                <w:rFonts w:ascii="Arial" w:hAnsi="Arial" w:cs="Arial"/>
                <w:sz w:val="16"/>
                <w:szCs w:val="16"/>
                <w:lang w:val="bg-BG"/>
              </w:rPr>
              <w:t>03)</w:t>
            </w:r>
          </w:p>
        </w:tc>
        <w:tc>
          <w:tcPr>
            <w:tcW w:w="5125" w:type="dxa"/>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Количествена оценка</w:t>
            </w:r>
          </w:p>
          <w:p w:rsidR="008D6E9B" w:rsidRPr="00703017" w:rsidRDefault="008D6E9B" w:rsidP="00E72338">
            <w:pPr>
              <w:spacing w:line="240" w:lineRule="auto"/>
              <w:rPr>
                <w:rFonts w:ascii="Arial" w:hAnsi="Arial" w:cs="Arial"/>
                <w:sz w:val="16"/>
                <w:szCs w:val="16"/>
                <w:lang w:val="bg-BG" w:eastAsia="de-DE"/>
              </w:rPr>
            </w:pPr>
            <w:r w:rsidRPr="00703017">
              <w:rPr>
                <w:rFonts w:ascii="Arial" w:hAnsi="Arial" w:cs="Arial"/>
                <w:sz w:val="16"/>
                <w:szCs w:val="16"/>
                <w:lang w:val="bg-BG"/>
              </w:rPr>
              <w:t>Формирането на прах при изсипване е предмет на холандския модел (van Hemmen, 1992, както е описан в Раздел 9.0.3.1 по-горе).</w:t>
            </w:r>
          </w:p>
        </w:tc>
      </w:tr>
      <w:tr w:rsidR="008D6E9B" w:rsidRPr="0070774F">
        <w:trPr>
          <w:cantSplit/>
          <w:jc w:val="center"/>
        </w:trPr>
        <w:tc>
          <w:tcPr>
            <w:tcW w:w="9656" w:type="dxa"/>
            <w:gridSpan w:val="15"/>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 xml:space="preserve">Прилагане на течни продукти и пасти. </w:t>
            </w:r>
          </w:p>
        </w:tc>
      </w:tr>
      <w:tr w:rsidR="008D6E9B" w:rsidRPr="00703017">
        <w:trPr>
          <w:cantSplit/>
          <w:jc w:val="center"/>
        </w:trPr>
        <w:tc>
          <w:tcPr>
            <w:tcW w:w="1699" w:type="dxa"/>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Маршрут на експозицията</w:t>
            </w:r>
          </w:p>
        </w:tc>
        <w:tc>
          <w:tcPr>
            <w:tcW w:w="2832" w:type="dxa"/>
            <w:gridSpan w:val="8"/>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Оценка на експозиция</w:t>
            </w:r>
          </w:p>
        </w:tc>
        <w:tc>
          <w:tcPr>
            <w:tcW w:w="5125" w:type="dxa"/>
            <w:gridSpan w:val="6"/>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Използван метод, коментари</w:t>
            </w:r>
          </w:p>
        </w:tc>
      </w:tr>
      <w:tr w:rsidR="008D6E9B" w:rsidRPr="0070774F">
        <w:trPr>
          <w:cantSplit/>
          <w:jc w:val="center"/>
        </w:trPr>
        <w:tc>
          <w:tcPr>
            <w:tcW w:w="1699" w:type="dxa"/>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Орален</w:t>
            </w:r>
          </w:p>
        </w:tc>
        <w:tc>
          <w:tcPr>
            <w:tcW w:w="2832" w:type="dxa"/>
            <w:gridSpan w:val="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w:t>
            </w:r>
          </w:p>
        </w:tc>
        <w:tc>
          <w:tcPr>
            <w:tcW w:w="5125" w:type="dxa"/>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Не се появява орална експозиция като част от намеренията за употреба.</w:t>
            </w:r>
          </w:p>
        </w:tc>
      </w:tr>
      <w:tr w:rsidR="008D6E9B" w:rsidRPr="0070774F">
        <w:trPr>
          <w:cantSplit/>
          <w:jc w:val="center"/>
        </w:trPr>
        <w:tc>
          <w:tcPr>
            <w:tcW w:w="1699" w:type="dxa"/>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Дермален</w:t>
            </w:r>
          </w:p>
        </w:tc>
        <w:tc>
          <w:tcPr>
            <w:tcW w:w="2832" w:type="dxa"/>
            <w:gridSpan w:val="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Пръски</w:t>
            </w:r>
          </w:p>
        </w:tc>
        <w:tc>
          <w:tcPr>
            <w:tcW w:w="5125" w:type="dxa"/>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Но не могат да се изключат пръски по кожата, ако не се използват защитни ръкавици. В резултат на пръските </w:t>
            </w:r>
            <w:r w:rsidRPr="00703017">
              <w:rPr>
                <w:rFonts w:ascii="Arial" w:hAnsi="Arial" w:cs="Arial"/>
                <w:color w:val="000000"/>
                <w:sz w:val="16"/>
                <w:szCs w:val="16"/>
                <w:lang w:val="bg-BG"/>
              </w:rPr>
              <w:t>може понякога да се появи леко раздразнение, което лесно се отстрани чрез бърза промивка на ръцете с вода.</w:t>
            </w:r>
          </w:p>
        </w:tc>
      </w:tr>
      <w:tr w:rsidR="008D6E9B" w:rsidRPr="0070774F">
        <w:trPr>
          <w:cantSplit/>
          <w:jc w:val="center"/>
        </w:trPr>
        <w:tc>
          <w:tcPr>
            <w:tcW w:w="1699" w:type="dxa"/>
            <w:vAlign w:val="center"/>
          </w:tcPr>
          <w:p w:rsidR="008D6E9B" w:rsidRPr="00703017" w:rsidRDefault="008D6E9B" w:rsidP="00E72338">
            <w:pPr>
              <w:spacing w:line="240" w:lineRule="auto"/>
              <w:rPr>
                <w:rFonts w:ascii="Arial" w:hAnsi="Arial" w:cs="Arial"/>
                <w:sz w:val="16"/>
                <w:szCs w:val="16"/>
                <w:lang w:val="bg-BG"/>
              </w:rPr>
            </w:pPr>
            <w:r w:rsidRPr="00360A16">
              <w:rPr>
                <w:rFonts w:ascii="Arial" w:hAnsi="Arial" w:cs="Arial"/>
                <w:sz w:val="16"/>
                <w:szCs w:val="16"/>
                <w:lang w:val="bg-BG"/>
              </w:rPr>
              <w:t>Очи</w:t>
            </w:r>
          </w:p>
        </w:tc>
        <w:tc>
          <w:tcPr>
            <w:tcW w:w="2832" w:type="dxa"/>
            <w:gridSpan w:val="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Пръски</w:t>
            </w:r>
          </w:p>
        </w:tc>
        <w:tc>
          <w:tcPr>
            <w:tcW w:w="5125" w:type="dxa"/>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Ако се носят подходящи очила, не може да се очаква експозиция на очите. Но не могат да се изключат пръски в очите, ако не се носят защитни очила по време на използване на течни или пастообразни </w:t>
            </w:r>
            <w:r>
              <w:rPr>
                <w:rFonts w:ascii="Arial" w:hAnsi="Arial" w:cs="Arial"/>
                <w:sz w:val="16"/>
                <w:szCs w:val="16"/>
                <w:lang w:val="bg-BG"/>
              </w:rPr>
              <w:t>варови</w:t>
            </w:r>
            <w:r w:rsidRPr="00703017">
              <w:rPr>
                <w:rFonts w:ascii="Arial" w:hAnsi="Arial" w:cs="Arial"/>
                <w:sz w:val="16"/>
                <w:szCs w:val="16"/>
                <w:lang w:val="bg-BG"/>
              </w:rPr>
              <w:t xml:space="preserve"> препарати, особено при работа над главата. След инцидентна експозиция се препоръчва бърза промивка с вода и търсене на медицинска помощ.</w:t>
            </w:r>
          </w:p>
        </w:tc>
      </w:tr>
      <w:tr w:rsidR="008D6E9B" w:rsidRPr="0070774F">
        <w:trPr>
          <w:cantSplit/>
          <w:jc w:val="center"/>
        </w:trPr>
        <w:tc>
          <w:tcPr>
            <w:tcW w:w="1699" w:type="dxa"/>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Вдишване</w:t>
            </w:r>
          </w:p>
        </w:tc>
        <w:tc>
          <w:tcPr>
            <w:tcW w:w="2832" w:type="dxa"/>
            <w:gridSpan w:val="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w:t>
            </w:r>
          </w:p>
        </w:tc>
        <w:tc>
          <w:tcPr>
            <w:tcW w:w="5125" w:type="dxa"/>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spacing w:line="240" w:lineRule="auto"/>
              <w:rPr>
                <w:rFonts w:ascii="Arial" w:hAnsi="Arial" w:cs="Arial"/>
                <w:sz w:val="16"/>
                <w:szCs w:val="16"/>
                <w:lang w:val="bg-BG" w:eastAsia="de-DE"/>
              </w:rPr>
            </w:pPr>
            <w:r w:rsidRPr="00703017">
              <w:rPr>
                <w:rFonts w:ascii="Arial" w:hAnsi="Arial" w:cs="Arial"/>
                <w:sz w:val="16"/>
                <w:szCs w:val="16"/>
                <w:lang w:val="bg-BG"/>
              </w:rPr>
              <w:t>Не се очаква, тъй като парното налягане на варовиците е ниско и генериране на мъгла или аерозоли не се получава.</w:t>
            </w:r>
          </w:p>
        </w:tc>
      </w:tr>
      <w:tr w:rsidR="008D6E9B" w:rsidRPr="00703017">
        <w:trPr>
          <w:cantSplit/>
          <w:jc w:val="center"/>
        </w:trPr>
        <w:tc>
          <w:tcPr>
            <w:tcW w:w="9656" w:type="dxa"/>
            <w:gridSpan w:val="15"/>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 xml:space="preserve">Постапликационна експозиция </w:t>
            </w:r>
          </w:p>
        </w:tc>
      </w:tr>
      <w:tr w:rsidR="008D6E9B" w:rsidRPr="00703017">
        <w:trPr>
          <w:cantSplit/>
          <w:jc w:val="center"/>
        </w:trPr>
        <w:tc>
          <w:tcPr>
            <w:tcW w:w="9656" w:type="dxa"/>
            <w:gridSpan w:val="15"/>
            <w:vAlign w:val="center"/>
          </w:tcPr>
          <w:p w:rsidR="008D6E9B" w:rsidRPr="00703017" w:rsidRDefault="008D6E9B" w:rsidP="00E72338">
            <w:pPr>
              <w:spacing w:line="240" w:lineRule="auto"/>
              <w:rPr>
                <w:rFonts w:ascii="Arial" w:hAnsi="Arial" w:cs="Arial"/>
                <w:sz w:val="16"/>
                <w:szCs w:val="16"/>
                <w:lang w:val="bg-BG" w:eastAsia="de-DE"/>
              </w:rPr>
            </w:pPr>
            <w:r w:rsidRPr="00703017">
              <w:rPr>
                <w:rFonts w:ascii="Arial" w:hAnsi="Arial" w:cs="Arial"/>
                <w:sz w:val="16"/>
                <w:szCs w:val="16"/>
                <w:lang w:val="bg-BG"/>
              </w:rPr>
              <w:t xml:space="preserve">Не се предполага релевантна експозиция, тъй като водните </w:t>
            </w:r>
            <w:r>
              <w:rPr>
                <w:rFonts w:ascii="Arial" w:hAnsi="Arial" w:cs="Arial"/>
                <w:sz w:val="16"/>
                <w:szCs w:val="16"/>
                <w:lang w:val="bg-BG"/>
              </w:rPr>
              <w:t>варови</w:t>
            </w:r>
            <w:r w:rsidRPr="00703017">
              <w:rPr>
                <w:rFonts w:ascii="Arial" w:hAnsi="Arial" w:cs="Arial"/>
                <w:sz w:val="16"/>
                <w:szCs w:val="16"/>
                <w:lang w:val="bg-BG"/>
              </w:rPr>
              <w:t xml:space="preserve"> препарати бързо се превръщат в калциев карбонат с въглероден двуокис от атмосферата.</w:t>
            </w:r>
          </w:p>
        </w:tc>
      </w:tr>
      <w:tr w:rsidR="008D6E9B" w:rsidRPr="00703017">
        <w:trPr>
          <w:cantSplit/>
          <w:jc w:val="center"/>
        </w:trPr>
        <w:tc>
          <w:tcPr>
            <w:tcW w:w="9656" w:type="dxa"/>
            <w:gridSpan w:val="15"/>
            <w:shd w:val="clear" w:color="auto" w:fill="BFBFBF"/>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Експозиция за околната среда</w:t>
            </w:r>
          </w:p>
        </w:tc>
      </w:tr>
      <w:tr w:rsidR="008D6E9B" w:rsidRPr="0070774F">
        <w:trPr>
          <w:cantSplit/>
          <w:jc w:val="center"/>
        </w:trPr>
        <w:tc>
          <w:tcPr>
            <w:tcW w:w="9656" w:type="dxa"/>
            <w:gridSpan w:val="15"/>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sz w:val="16"/>
                <w:szCs w:val="16"/>
                <w:lang w:val="bg-BG"/>
              </w:rPr>
              <w:lastRenderedPageBreak/>
              <w:t xml:space="preserve">Що се отнася до РУ/RMM, свързани с околната среда, за да се избегне изпускане на </w:t>
            </w:r>
            <w:r>
              <w:rPr>
                <w:rFonts w:ascii="Arial" w:hAnsi="Arial" w:cs="Arial"/>
                <w:sz w:val="16"/>
                <w:szCs w:val="16"/>
                <w:lang w:val="bg-BG"/>
              </w:rPr>
              <w:t>варови</w:t>
            </w:r>
            <w:r w:rsidRPr="00703017">
              <w:rPr>
                <w:rFonts w:ascii="Arial" w:hAnsi="Arial" w:cs="Arial"/>
                <w:sz w:val="16"/>
                <w:szCs w:val="16"/>
                <w:lang w:val="bg-BG"/>
              </w:rPr>
              <w:t xml:space="preserve"> разтвори директно в общинската канализация, pH на входните води на ПСОВ е почти неутрално и следователно няма експозиция на биологично въздействие. Входните води на общинските ПСОВ често се неутрализират тъй или иначе, а варта може дори да се използва по един полезен начин за контрол на pH на киселинните потоци отпадни води, които се обработват в биологичните ПСОВ. Тъй като pH на входните води на общинските ПСОВ е почти неутрално, pH влиянието върху приемната околна среда е незначително, както в повърхностните води, така и в седимента и сухоземната част.</w:t>
            </w:r>
          </w:p>
        </w:tc>
      </w:tr>
    </w:tbl>
    <w:p w:rsidR="008D6E9B" w:rsidRPr="00703017" w:rsidRDefault="008D6E9B" w:rsidP="009C64DB">
      <w:pPr>
        <w:rPr>
          <w:lang w:val="bg-BG"/>
        </w:rPr>
      </w:pPr>
    </w:p>
    <w:p w:rsidR="008D6E9B" w:rsidRPr="00703017" w:rsidRDefault="008D6E9B" w:rsidP="009C64DB">
      <w:pPr>
        <w:keepNext/>
        <w:pageBreakBefore/>
        <w:tabs>
          <w:tab w:val="left" w:pos="1418"/>
        </w:tabs>
        <w:spacing w:before="240" w:after="60"/>
        <w:outlineLvl w:val="1"/>
        <w:rPr>
          <w:rFonts w:ascii="Arial" w:hAnsi="Arial" w:cs="Arial"/>
          <w:b/>
          <w:bCs/>
          <w:sz w:val="28"/>
          <w:szCs w:val="28"/>
          <w:lang w:val="bg-BG"/>
        </w:rPr>
      </w:pPr>
      <w:bookmarkStart w:id="27" w:name="_Toc270425144"/>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13: Консумативна употреба на абсорбиран CO2 в дихателните апарати</w:t>
      </w:r>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211"/>
        <w:gridCol w:w="455"/>
        <w:gridCol w:w="263"/>
        <w:gridCol w:w="493"/>
        <w:gridCol w:w="571"/>
        <w:gridCol w:w="8"/>
        <w:gridCol w:w="22"/>
        <w:gridCol w:w="636"/>
        <w:gridCol w:w="450"/>
        <w:gridCol w:w="614"/>
        <w:gridCol w:w="723"/>
        <w:gridCol w:w="840"/>
        <w:gridCol w:w="363"/>
        <w:gridCol w:w="1818"/>
      </w:tblGrid>
      <w:tr w:rsidR="008D6E9B" w:rsidRPr="0070774F">
        <w:trPr>
          <w:cantSplit/>
          <w:jc w:val="center"/>
        </w:trPr>
        <w:tc>
          <w:tcPr>
            <w:tcW w:w="9656" w:type="dxa"/>
            <w:gridSpan w:val="15"/>
            <w:shd w:val="clear" w:color="auto" w:fill="00FFFF"/>
            <w:vAlign w:val="center"/>
          </w:tcPr>
          <w:p w:rsidR="008D6E9B" w:rsidRPr="00703017" w:rsidRDefault="008D6E9B" w:rsidP="00E72338">
            <w:pPr>
              <w:rPr>
                <w:rFonts w:ascii="Arial" w:hAnsi="Arial" w:cs="Arial"/>
                <w:b/>
                <w:bCs/>
                <w:i/>
                <w:iCs/>
                <w:color w:val="0000FF"/>
                <w:sz w:val="20"/>
                <w:szCs w:val="20"/>
                <w:lang w:val="bg-BG"/>
              </w:rPr>
            </w:pPr>
            <w:r w:rsidRPr="00703017">
              <w:rPr>
                <w:rFonts w:ascii="Arial" w:hAnsi="Arial" w:cs="Arial"/>
                <w:b/>
                <w:bCs/>
                <w:sz w:val="20"/>
                <w:szCs w:val="20"/>
                <w:lang w:val="bg-BG"/>
              </w:rPr>
              <w:br w:type="page"/>
            </w:r>
            <w:r w:rsidRPr="00703017">
              <w:rPr>
                <w:rFonts w:ascii="Arial" w:hAnsi="Arial" w:cs="Arial"/>
                <w:b/>
                <w:bCs/>
                <w:i/>
                <w:iCs/>
                <w:color w:val="0000FF"/>
                <w:sz w:val="20"/>
                <w:szCs w:val="20"/>
                <w:lang w:val="bg-BG"/>
              </w:rPr>
              <w:t>Формат на сценарий на експозиция (2), посветен на начините на употреба от потребители</w:t>
            </w:r>
          </w:p>
        </w:tc>
      </w:tr>
      <w:tr w:rsidR="008D6E9B" w:rsidRPr="00703017">
        <w:trPr>
          <w:cantSplit/>
          <w:jc w:val="center"/>
        </w:trPr>
        <w:tc>
          <w:tcPr>
            <w:tcW w:w="9656" w:type="dxa"/>
            <w:gridSpan w:val="15"/>
            <w:shd w:val="clear" w:color="auto" w:fill="00FFFF"/>
            <w:vAlign w:val="center"/>
          </w:tcPr>
          <w:p w:rsidR="008D6E9B" w:rsidRPr="00703017" w:rsidRDefault="008D6E9B" w:rsidP="00E72338">
            <w:pPr>
              <w:rPr>
                <w:rFonts w:ascii="Arial" w:hAnsi="Arial" w:cs="Arial"/>
                <w:b/>
                <w:bCs/>
                <w:color w:val="0000FF"/>
                <w:sz w:val="20"/>
                <w:szCs w:val="20"/>
                <w:lang w:val="bg-BG"/>
              </w:rPr>
            </w:pPr>
            <w:r w:rsidRPr="00703017">
              <w:rPr>
                <w:rFonts w:ascii="Arial" w:hAnsi="Arial" w:cs="Arial"/>
                <w:b/>
                <w:bCs/>
                <w:color w:val="0000FF"/>
                <w:sz w:val="20"/>
                <w:szCs w:val="20"/>
                <w:lang w:val="bg-BG"/>
              </w:rPr>
              <w:t>1. Заглавие</w:t>
            </w:r>
          </w:p>
        </w:tc>
      </w:tr>
      <w:tr w:rsidR="008D6E9B" w:rsidRPr="0070774F">
        <w:trPr>
          <w:cantSplit/>
          <w:jc w:val="center"/>
        </w:trPr>
        <w:tc>
          <w:tcPr>
            <w:tcW w:w="3834" w:type="dxa"/>
            <w:gridSpan w:val="7"/>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Кратко свободно заглавие</w:t>
            </w:r>
          </w:p>
        </w:tc>
        <w:tc>
          <w:tcPr>
            <w:tcW w:w="5822"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Консумативна употреба на CO</w:t>
            </w:r>
            <w:r w:rsidRPr="00703017">
              <w:rPr>
                <w:rFonts w:ascii="Arial" w:hAnsi="Arial" w:cs="Arial"/>
                <w:sz w:val="16"/>
                <w:szCs w:val="16"/>
                <w:vertAlign w:val="subscript"/>
                <w:lang w:val="bg-BG"/>
              </w:rPr>
              <w:t>2</w:t>
            </w:r>
            <w:r w:rsidRPr="00703017">
              <w:rPr>
                <w:rFonts w:ascii="Arial" w:hAnsi="Arial" w:cs="Arial"/>
                <w:sz w:val="16"/>
                <w:szCs w:val="16"/>
                <w:lang w:val="bg-BG"/>
              </w:rPr>
              <w:t xml:space="preserve"> абсорбент в дихателните апарати</w:t>
            </w:r>
          </w:p>
        </w:tc>
      </w:tr>
      <w:tr w:rsidR="008D6E9B" w:rsidRPr="00703017">
        <w:trPr>
          <w:cantSplit/>
          <w:jc w:val="center"/>
        </w:trPr>
        <w:tc>
          <w:tcPr>
            <w:tcW w:w="3834" w:type="dxa"/>
            <w:gridSpan w:val="7"/>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Систематично заглавие на основата на дескриптора на употребите</w:t>
            </w:r>
          </w:p>
        </w:tc>
        <w:tc>
          <w:tcPr>
            <w:tcW w:w="5822"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SU21, PC2, ERC8b </w:t>
            </w:r>
          </w:p>
        </w:tc>
      </w:tr>
      <w:tr w:rsidR="008D6E9B" w:rsidRPr="00703017">
        <w:trPr>
          <w:cantSplit/>
          <w:jc w:val="center"/>
        </w:trPr>
        <w:tc>
          <w:tcPr>
            <w:tcW w:w="3834" w:type="dxa"/>
            <w:gridSpan w:val="7"/>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 xml:space="preserve">Покриване процеси, задачи, дейности </w:t>
            </w:r>
          </w:p>
        </w:tc>
        <w:tc>
          <w:tcPr>
            <w:tcW w:w="5822"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Пълнене на резервоара с препарат </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Използване на дихателни апарати със затворен кръг </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Почистване на апаратурата </w:t>
            </w:r>
          </w:p>
        </w:tc>
      </w:tr>
      <w:tr w:rsidR="008D6E9B" w:rsidRPr="0070774F">
        <w:trPr>
          <w:cantSplit/>
          <w:jc w:val="center"/>
        </w:trPr>
        <w:tc>
          <w:tcPr>
            <w:tcW w:w="3834" w:type="dxa"/>
            <w:gridSpan w:val="7"/>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Метод на оценка*</w:t>
            </w:r>
          </w:p>
        </w:tc>
        <w:tc>
          <w:tcPr>
            <w:tcW w:w="5822"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Човешкото здраве</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Извършена е качествена оценка при орална и дермална експозиция. Експозицията при вдишване беше оценена по Холандския модел (van Hemmen, 1992).</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Околна среда</w:t>
            </w:r>
          </w:p>
          <w:p w:rsidR="008D6E9B" w:rsidRPr="00703017" w:rsidRDefault="008D6E9B" w:rsidP="00E72338">
            <w:pPr>
              <w:rPr>
                <w:rFonts w:ascii="Arial" w:hAnsi="Arial" w:cs="Arial"/>
                <w:i/>
                <w:iCs/>
                <w:sz w:val="16"/>
                <w:szCs w:val="16"/>
                <w:lang w:val="bg-BG"/>
              </w:rPr>
            </w:pPr>
            <w:r w:rsidRPr="00703017">
              <w:rPr>
                <w:rFonts w:ascii="Arial" w:hAnsi="Arial" w:cs="Arial"/>
                <w:sz w:val="16"/>
                <w:szCs w:val="16"/>
                <w:lang w:val="bg-BG"/>
              </w:rPr>
              <w:t>Предлага се оценка с качествена обосновка.</w:t>
            </w:r>
          </w:p>
        </w:tc>
      </w:tr>
      <w:tr w:rsidR="008D6E9B" w:rsidRPr="0070774F">
        <w:trPr>
          <w:cantSplit/>
          <w:jc w:val="center"/>
        </w:trPr>
        <w:tc>
          <w:tcPr>
            <w:tcW w:w="9656" w:type="dxa"/>
            <w:gridSpan w:val="15"/>
            <w:shd w:val="clear" w:color="auto" w:fill="00FFFF"/>
            <w:vAlign w:val="center"/>
          </w:tcPr>
          <w:p w:rsidR="008D6E9B" w:rsidRPr="00703017" w:rsidRDefault="008D6E9B" w:rsidP="00E72338">
            <w:pPr>
              <w:rPr>
                <w:rFonts w:ascii="Arial" w:hAnsi="Arial" w:cs="Arial"/>
                <w:b/>
                <w:bCs/>
                <w:color w:val="0000FF"/>
                <w:sz w:val="20"/>
                <w:szCs w:val="20"/>
                <w:lang w:val="bg-BG"/>
              </w:rPr>
            </w:pPr>
            <w:r w:rsidRPr="00703017">
              <w:rPr>
                <w:rFonts w:ascii="Arial" w:hAnsi="Arial" w:cs="Arial"/>
                <w:b/>
                <w:bCs/>
                <w:color w:val="0000FF"/>
                <w:sz w:val="20"/>
                <w:szCs w:val="20"/>
                <w:lang w:val="bg-BG"/>
              </w:rPr>
              <w:t>2. Работни условия и мерки за управление на риска</w:t>
            </w:r>
          </w:p>
        </w:tc>
      </w:tr>
      <w:tr w:rsidR="008D6E9B" w:rsidRPr="0070774F">
        <w:trPr>
          <w:cantSplit/>
          <w:jc w:val="center"/>
        </w:trPr>
        <w:tc>
          <w:tcPr>
            <w:tcW w:w="2410" w:type="dxa"/>
            <w:gridSpan w:val="3"/>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RMM</w:t>
            </w:r>
          </w:p>
        </w:tc>
        <w:tc>
          <w:tcPr>
            <w:tcW w:w="7246" w:type="dxa"/>
            <w:gridSpan w:val="12"/>
            <w:vAlign w:val="center"/>
          </w:tcPr>
          <w:p w:rsidR="008D6E9B" w:rsidRPr="00703017" w:rsidRDefault="008D6E9B" w:rsidP="0000181C">
            <w:pPr>
              <w:rPr>
                <w:rFonts w:ascii="Arial" w:hAnsi="Arial" w:cs="Arial"/>
                <w:sz w:val="16"/>
                <w:szCs w:val="16"/>
                <w:lang w:val="bg-BG"/>
              </w:rPr>
            </w:pPr>
            <w:r w:rsidRPr="00703017">
              <w:rPr>
                <w:rFonts w:ascii="Arial" w:hAnsi="Arial" w:cs="Arial"/>
                <w:sz w:val="16"/>
                <w:szCs w:val="16"/>
                <w:lang w:val="bg-BG"/>
              </w:rPr>
              <w:t>Натронкалкът съществува във формата на гранули. Нещо повече, добавя се известно количество вода (14-18%), което още повече намалява запрашеността на абсорбента. По време на дишане калциевият дихидроокис реагира бързо със CO</w:t>
            </w:r>
            <w:r w:rsidRPr="00703017">
              <w:rPr>
                <w:rFonts w:ascii="Arial" w:hAnsi="Arial" w:cs="Arial"/>
                <w:sz w:val="16"/>
                <w:szCs w:val="16"/>
                <w:vertAlign w:val="subscript"/>
                <w:lang w:val="bg-BG"/>
              </w:rPr>
              <w:t>2</w:t>
            </w:r>
            <w:r w:rsidRPr="00703017">
              <w:rPr>
                <w:rFonts w:ascii="Arial" w:hAnsi="Arial" w:cs="Arial"/>
                <w:sz w:val="16"/>
                <w:szCs w:val="16"/>
                <w:lang w:val="bg-BG"/>
              </w:rPr>
              <w:t xml:space="preserve"> за да се получи карбонат.</w:t>
            </w:r>
          </w:p>
        </w:tc>
      </w:tr>
      <w:tr w:rsidR="008D6E9B" w:rsidRPr="0070774F">
        <w:trPr>
          <w:cantSplit/>
          <w:jc w:val="center"/>
        </w:trPr>
        <w:tc>
          <w:tcPr>
            <w:tcW w:w="2410" w:type="dxa"/>
            <w:gridSpan w:val="3"/>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PC/ERC</w:t>
            </w:r>
          </w:p>
        </w:tc>
        <w:tc>
          <w:tcPr>
            <w:tcW w:w="7246" w:type="dxa"/>
            <w:gridSpan w:val="12"/>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Описание на дейност, свързана с категориите на изделието (AC) и категориите за отделяне в околната среда (ERC)</w:t>
            </w:r>
          </w:p>
        </w:tc>
      </w:tr>
      <w:tr w:rsidR="008D6E9B" w:rsidRPr="0070774F">
        <w:trPr>
          <w:cantSplit/>
          <w:jc w:val="center"/>
        </w:trPr>
        <w:tc>
          <w:tcPr>
            <w:tcW w:w="2410" w:type="dxa"/>
            <w:gridSpan w:val="3"/>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PC 2</w:t>
            </w:r>
          </w:p>
        </w:tc>
        <w:tc>
          <w:tcPr>
            <w:tcW w:w="7246" w:type="dxa"/>
            <w:gridSpan w:val="12"/>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Използване на дихателни апарати със затворен кръг, напр. в леководолазния спорт, съдържащи натронкалк като CO</w:t>
            </w:r>
            <w:r w:rsidRPr="00703017">
              <w:rPr>
                <w:rFonts w:ascii="Arial" w:hAnsi="Arial" w:cs="Arial"/>
                <w:sz w:val="16"/>
                <w:szCs w:val="16"/>
                <w:vertAlign w:val="subscript"/>
                <w:lang w:val="bg-BG"/>
              </w:rPr>
              <w:t>2</w:t>
            </w:r>
            <w:r w:rsidRPr="00703017">
              <w:rPr>
                <w:rFonts w:ascii="Arial" w:hAnsi="Arial" w:cs="Arial"/>
                <w:sz w:val="16"/>
                <w:szCs w:val="16"/>
                <w:lang w:val="bg-BG"/>
              </w:rPr>
              <w:t xml:space="preserve"> абсорбент. Вдишаният въздух преминава през абсорбента и CO</w:t>
            </w:r>
            <w:r w:rsidRPr="00703017">
              <w:rPr>
                <w:rFonts w:ascii="Arial" w:hAnsi="Arial" w:cs="Arial"/>
                <w:sz w:val="16"/>
                <w:szCs w:val="16"/>
                <w:vertAlign w:val="subscript"/>
                <w:lang w:val="bg-BG"/>
              </w:rPr>
              <w:t>2</w:t>
            </w:r>
            <w:r w:rsidRPr="00703017">
              <w:rPr>
                <w:rFonts w:ascii="Arial" w:hAnsi="Arial" w:cs="Arial"/>
                <w:sz w:val="16"/>
                <w:szCs w:val="16"/>
                <w:lang w:val="bg-BG"/>
              </w:rPr>
              <w:t xml:space="preserve"> реагира бързо (катализирано от водата и натриевия хидроксид) с калциевия дихидроксид, за да се получи карбонат. Освободеният от CO</w:t>
            </w:r>
            <w:r w:rsidRPr="00703017">
              <w:rPr>
                <w:rFonts w:ascii="Arial" w:hAnsi="Arial" w:cs="Arial"/>
                <w:sz w:val="16"/>
                <w:szCs w:val="16"/>
                <w:vertAlign w:val="subscript"/>
                <w:lang w:val="bg-BG"/>
              </w:rPr>
              <w:t>2</w:t>
            </w:r>
            <w:r w:rsidRPr="00703017">
              <w:rPr>
                <w:rFonts w:ascii="Arial" w:hAnsi="Arial" w:cs="Arial"/>
                <w:sz w:val="16"/>
                <w:szCs w:val="16"/>
                <w:lang w:val="bg-BG"/>
              </w:rPr>
              <w:t xml:space="preserve"> въздух може де се вдиша отново, след добавяне на кислород.</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Работа с абсорбента: Абсорбентът се отстранява след всяка употреба и се пълни отново преди всяко гмуркане. </w:t>
            </w:r>
          </w:p>
        </w:tc>
      </w:tr>
      <w:tr w:rsidR="008D6E9B" w:rsidRPr="0070774F">
        <w:trPr>
          <w:cantSplit/>
          <w:jc w:val="center"/>
        </w:trPr>
        <w:tc>
          <w:tcPr>
            <w:tcW w:w="2410" w:type="dxa"/>
            <w:gridSpan w:val="3"/>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ERC 8b</w:t>
            </w:r>
          </w:p>
        </w:tc>
        <w:tc>
          <w:tcPr>
            <w:tcW w:w="7246" w:type="dxa"/>
            <w:gridSpan w:val="12"/>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Широко разпространена употреба на закрито, водеща до включване в или върху матрица</w:t>
            </w:r>
          </w:p>
        </w:tc>
      </w:tr>
      <w:tr w:rsidR="008D6E9B" w:rsidRPr="0070774F">
        <w:trPr>
          <w:cantSplit/>
          <w:jc w:val="center"/>
        </w:trPr>
        <w:tc>
          <w:tcPr>
            <w:tcW w:w="9656" w:type="dxa"/>
            <w:gridSpan w:val="15"/>
            <w:shd w:val="clear" w:color="auto" w:fill="00FFFF"/>
            <w:vAlign w:val="center"/>
          </w:tcPr>
          <w:p w:rsidR="008D6E9B" w:rsidRPr="00703017" w:rsidRDefault="008D6E9B" w:rsidP="00E72338">
            <w:pPr>
              <w:rPr>
                <w:rFonts w:ascii="Arial" w:hAnsi="Arial" w:cs="Arial"/>
                <w:b/>
                <w:bCs/>
                <w:color w:val="0000FF"/>
                <w:sz w:val="20"/>
                <w:szCs w:val="20"/>
                <w:lang w:val="bg-BG"/>
              </w:rPr>
            </w:pPr>
            <w:r w:rsidRPr="00703017">
              <w:rPr>
                <w:rFonts w:ascii="Arial" w:hAnsi="Arial" w:cs="Arial"/>
                <w:b/>
                <w:bCs/>
                <w:color w:val="0000FF"/>
                <w:sz w:val="20"/>
                <w:szCs w:val="20"/>
                <w:highlight w:val="cyan"/>
                <w:lang w:val="bg-BG"/>
              </w:rPr>
              <w:t>2.1 Контрол на експозицията на потребителите</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Характеристика на продукта</w:t>
            </w:r>
          </w:p>
        </w:tc>
      </w:tr>
      <w:tr w:rsidR="008D6E9B" w:rsidRPr="00703017">
        <w:trPr>
          <w:cantSplit/>
          <w:jc w:val="center"/>
        </w:trPr>
        <w:tc>
          <w:tcPr>
            <w:tcW w:w="1926" w:type="dxa"/>
            <w:gridSpan w:val="2"/>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Описание на препарата</w:t>
            </w:r>
          </w:p>
        </w:tc>
        <w:tc>
          <w:tcPr>
            <w:tcW w:w="1930" w:type="dxa"/>
            <w:gridSpan w:val="6"/>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Концентрация на веществото в препарата</w:t>
            </w:r>
          </w:p>
        </w:tc>
        <w:tc>
          <w:tcPr>
            <w:tcW w:w="1810" w:type="dxa"/>
            <w:gridSpan w:val="3"/>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Физическо състояние на препарата</w:t>
            </w:r>
          </w:p>
        </w:tc>
        <w:tc>
          <w:tcPr>
            <w:tcW w:w="2053" w:type="dxa"/>
            <w:gridSpan w:val="3"/>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Запрашеност (ако е приложимо)</w:t>
            </w:r>
          </w:p>
        </w:tc>
        <w:tc>
          <w:tcPr>
            <w:tcW w:w="1937" w:type="dxa"/>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Дизайн на опаковката</w:t>
            </w:r>
          </w:p>
        </w:tc>
      </w:tr>
      <w:tr w:rsidR="008D6E9B" w:rsidRPr="00703017">
        <w:trPr>
          <w:cantSplit/>
          <w:jc w:val="center"/>
        </w:trPr>
        <w:tc>
          <w:tcPr>
            <w:tcW w:w="1926" w:type="dxa"/>
            <w:gridSpan w:val="2"/>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CO</w:t>
            </w:r>
            <w:r w:rsidRPr="00703017">
              <w:rPr>
                <w:rFonts w:ascii="Arial" w:hAnsi="Arial" w:cs="Arial"/>
                <w:sz w:val="16"/>
                <w:szCs w:val="16"/>
                <w:vertAlign w:val="subscript"/>
                <w:lang w:val="bg-BG"/>
              </w:rPr>
              <w:t>2</w:t>
            </w:r>
            <w:r w:rsidRPr="00703017">
              <w:rPr>
                <w:rFonts w:ascii="Arial" w:hAnsi="Arial" w:cs="Arial"/>
                <w:sz w:val="16"/>
                <w:szCs w:val="16"/>
                <w:lang w:val="bg-BG"/>
              </w:rPr>
              <w:t xml:space="preserve"> абсорбент </w:t>
            </w:r>
          </w:p>
        </w:tc>
        <w:tc>
          <w:tcPr>
            <w:tcW w:w="1930" w:type="dxa"/>
            <w:gridSpan w:val="6"/>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78 - 84%</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Според приложението, към основния компонент се добавят различни адитиви.</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Винаги се добавя определено количество вода (14-18%).</w:t>
            </w:r>
          </w:p>
        </w:tc>
        <w:tc>
          <w:tcPr>
            <w:tcW w:w="1810" w:type="dxa"/>
            <w:gridSpan w:val="3"/>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Твърд, гранулиран</w:t>
            </w:r>
          </w:p>
        </w:tc>
        <w:tc>
          <w:tcPr>
            <w:tcW w:w="2053" w:type="dxa"/>
            <w:gridSpan w:val="3"/>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Много слаба запрашеност </w:t>
            </w:r>
            <w:r w:rsidRPr="00703017">
              <w:rPr>
                <w:lang w:val="bg-BG"/>
              </w:rPr>
              <w:br/>
            </w:r>
            <w:r w:rsidRPr="00703017">
              <w:rPr>
                <w:rFonts w:ascii="Arial" w:hAnsi="Arial" w:cs="Arial"/>
                <w:sz w:val="16"/>
                <w:szCs w:val="16"/>
                <w:lang w:val="bg-BG"/>
              </w:rPr>
              <w:t>(с 10 % по-малко отколкото прахообразния)</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Не може напълно да се отхвърли запрашаването при пълнене на резервоара на апарата.</w:t>
            </w:r>
          </w:p>
        </w:tc>
        <w:tc>
          <w:tcPr>
            <w:tcW w:w="1937" w:type="dxa"/>
            <w:vAlign w:val="center"/>
          </w:tcPr>
          <w:p w:rsidR="008D6E9B" w:rsidRPr="00703017" w:rsidRDefault="008D6E9B" w:rsidP="00E72338">
            <w:pPr>
              <w:rPr>
                <w:rFonts w:ascii="Arial" w:hAnsi="Arial" w:cs="Arial"/>
                <w:sz w:val="16"/>
                <w:szCs w:val="16"/>
                <w:lang w:val="bg-BG"/>
              </w:rPr>
            </w:pPr>
            <w:r>
              <w:rPr>
                <w:rFonts w:ascii="Arial" w:hAnsi="Arial" w:cs="Arial"/>
                <w:sz w:val="16"/>
                <w:szCs w:val="16"/>
                <w:lang w:val="bg-BG"/>
              </w:rPr>
              <w:t>4</w:t>
            </w:r>
            <w:r>
              <w:rPr>
                <w:rFonts w:ascii="Arial" w:hAnsi="Arial" w:cs="Arial"/>
                <w:sz w:val="16"/>
                <w:szCs w:val="16"/>
                <w:lang w:val="de-DE"/>
              </w:rPr>
              <w:t>,</w:t>
            </w:r>
            <w:r w:rsidRPr="00703017">
              <w:rPr>
                <w:rFonts w:ascii="Arial" w:hAnsi="Arial" w:cs="Arial"/>
                <w:sz w:val="16"/>
                <w:szCs w:val="16"/>
                <w:lang w:val="bg-BG"/>
              </w:rPr>
              <w:t>5, 18 kg метални кутии</w:t>
            </w:r>
          </w:p>
        </w:tc>
      </w:tr>
      <w:tr w:rsidR="008D6E9B" w:rsidRPr="00703017">
        <w:trPr>
          <w:cantSplit/>
          <w:jc w:val="center"/>
        </w:trPr>
        <w:tc>
          <w:tcPr>
            <w:tcW w:w="1926" w:type="dxa"/>
            <w:gridSpan w:val="2"/>
            <w:vAlign w:val="center"/>
          </w:tcPr>
          <w:p w:rsidR="008D6E9B" w:rsidRPr="00703017" w:rsidRDefault="008D6E9B" w:rsidP="00E72338">
            <w:pPr>
              <w:rPr>
                <w:rFonts w:ascii="Arial" w:hAnsi="Arial" w:cs="Arial"/>
                <w:sz w:val="16"/>
                <w:szCs w:val="16"/>
                <w:lang w:val="bg-BG"/>
              </w:rPr>
            </w:pPr>
            <w:r>
              <w:rPr>
                <w:rFonts w:ascii="Arial" w:hAnsi="Arial" w:cs="Arial"/>
                <w:sz w:val="16"/>
                <w:szCs w:val="16"/>
                <w:lang w:val="bg-BG"/>
              </w:rPr>
              <w:t>„</w:t>
            </w:r>
            <w:r w:rsidRPr="00703017">
              <w:rPr>
                <w:rFonts w:ascii="Arial" w:hAnsi="Arial" w:cs="Arial"/>
                <w:sz w:val="16"/>
                <w:szCs w:val="16"/>
                <w:lang w:val="bg-BG"/>
              </w:rPr>
              <w:t>Използван</w:t>
            </w:r>
            <w:r>
              <w:rPr>
                <w:rFonts w:ascii="Arial" w:hAnsi="Arial" w:cs="Arial"/>
                <w:sz w:val="16"/>
                <w:szCs w:val="16"/>
                <w:lang w:val="bg-BG"/>
              </w:rPr>
              <w:t>“</w:t>
            </w:r>
            <w:r w:rsidRPr="00703017">
              <w:rPr>
                <w:rFonts w:ascii="Arial" w:hAnsi="Arial" w:cs="Arial"/>
                <w:sz w:val="16"/>
                <w:szCs w:val="16"/>
                <w:lang w:val="bg-BG"/>
              </w:rPr>
              <w:t xml:space="preserve"> CO</w:t>
            </w:r>
            <w:r w:rsidRPr="00703017">
              <w:rPr>
                <w:rFonts w:ascii="Arial" w:hAnsi="Arial" w:cs="Arial"/>
                <w:sz w:val="16"/>
                <w:szCs w:val="16"/>
                <w:vertAlign w:val="subscript"/>
                <w:lang w:val="bg-BG"/>
              </w:rPr>
              <w:t>2</w:t>
            </w:r>
            <w:r w:rsidRPr="00703017">
              <w:rPr>
                <w:rFonts w:ascii="Arial" w:hAnsi="Arial" w:cs="Arial"/>
                <w:sz w:val="16"/>
                <w:szCs w:val="16"/>
                <w:lang w:val="bg-BG"/>
              </w:rPr>
              <w:t xml:space="preserve"> абсорбент </w:t>
            </w:r>
          </w:p>
        </w:tc>
        <w:tc>
          <w:tcPr>
            <w:tcW w:w="1930" w:type="dxa"/>
            <w:gridSpan w:val="6"/>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20%</w:t>
            </w:r>
          </w:p>
        </w:tc>
        <w:tc>
          <w:tcPr>
            <w:tcW w:w="1810" w:type="dxa"/>
            <w:gridSpan w:val="3"/>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Твърд, гранулиран</w:t>
            </w:r>
          </w:p>
        </w:tc>
        <w:tc>
          <w:tcPr>
            <w:tcW w:w="2053" w:type="dxa"/>
            <w:gridSpan w:val="3"/>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Много слаба запрашеност </w:t>
            </w:r>
            <w:r w:rsidRPr="00703017">
              <w:rPr>
                <w:lang w:val="bg-BG"/>
              </w:rPr>
              <w:br/>
            </w:r>
            <w:r w:rsidRPr="00703017">
              <w:rPr>
                <w:rFonts w:ascii="Arial" w:hAnsi="Arial" w:cs="Arial"/>
                <w:sz w:val="16"/>
                <w:szCs w:val="16"/>
                <w:lang w:val="bg-BG"/>
              </w:rPr>
              <w:t>(с 10 % по-малко отколкото прахообразния)</w:t>
            </w:r>
          </w:p>
        </w:tc>
        <w:tc>
          <w:tcPr>
            <w:tcW w:w="1937"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1-3 kg в дихателен апарат </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Използвани количества</w:t>
            </w:r>
          </w:p>
        </w:tc>
      </w:tr>
      <w:tr w:rsidR="008D6E9B" w:rsidRPr="0070774F">
        <w:trPr>
          <w:cantSplit/>
          <w:jc w:val="center"/>
        </w:trPr>
        <w:tc>
          <w:tcPr>
            <w:tcW w:w="3826" w:type="dxa"/>
            <w:gridSpan w:val="6"/>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lastRenderedPageBreak/>
              <w:t>CO</w:t>
            </w:r>
            <w:r w:rsidRPr="00703017">
              <w:rPr>
                <w:rFonts w:ascii="Arial" w:hAnsi="Arial" w:cs="Arial"/>
                <w:sz w:val="16"/>
                <w:szCs w:val="16"/>
                <w:vertAlign w:val="subscript"/>
                <w:lang w:val="bg-BG"/>
              </w:rPr>
              <w:t>2</w:t>
            </w:r>
            <w:r w:rsidRPr="00703017">
              <w:rPr>
                <w:rFonts w:ascii="Arial" w:hAnsi="Arial" w:cs="Arial"/>
                <w:sz w:val="16"/>
                <w:szCs w:val="16"/>
                <w:lang w:val="bg-BG"/>
              </w:rPr>
              <w:t>-абсорбент, използван в дихателните апарати</w:t>
            </w:r>
          </w:p>
        </w:tc>
        <w:tc>
          <w:tcPr>
            <w:tcW w:w="5830" w:type="dxa"/>
            <w:gridSpan w:val="9"/>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1-3 kg според вида на дихателния апарат </w:t>
            </w:r>
          </w:p>
        </w:tc>
      </w:tr>
      <w:tr w:rsidR="008D6E9B" w:rsidRPr="0070774F">
        <w:trPr>
          <w:cantSplit/>
          <w:jc w:val="center"/>
        </w:trPr>
        <w:tc>
          <w:tcPr>
            <w:tcW w:w="9656" w:type="dxa"/>
            <w:gridSpan w:val="15"/>
            <w:shd w:val="clear" w:color="auto" w:fill="C0C0C0"/>
            <w:vAlign w:val="center"/>
          </w:tcPr>
          <w:p w:rsidR="008D6E9B" w:rsidRPr="00703017" w:rsidRDefault="008D6E9B" w:rsidP="00E72338">
            <w:pPr>
              <w:keepNext/>
              <w:rPr>
                <w:rFonts w:ascii="Arial" w:hAnsi="Arial" w:cs="Arial"/>
                <w:b/>
                <w:bCs/>
                <w:color w:val="0000FF"/>
                <w:sz w:val="16"/>
                <w:szCs w:val="16"/>
                <w:lang w:val="bg-BG"/>
              </w:rPr>
            </w:pPr>
            <w:r w:rsidRPr="00703017">
              <w:rPr>
                <w:rFonts w:ascii="Arial" w:hAnsi="Arial" w:cs="Arial"/>
                <w:b/>
                <w:bCs/>
                <w:color w:val="0000FF"/>
                <w:sz w:val="16"/>
                <w:szCs w:val="16"/>
                <w:lang w:val="bg-BG"/>
              </w:rPr>
              <w:t>Честота и продължителност на употребата/експозицията</w:t>
            </w:r>
          </w:p>
        </w:tc>
      </w:tr>
      <w:tr w:rsidR="008D6E9B" w:rsidRPr="00703017">
        <w:trPr>
          <w:cantSplit/>
          <w:jc w:val="center"/>
        </w:trPr>
        <w:tc>
          <w:tcPr>
            <w:tcW w:w="3216" w:type="dxa"/>
            <w:gridSpan w:val="5"/>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Описание на задачата</w:t>
            </w:r>
          </w:p>
        </w:tc>
        <w:tc>
          <w:tcPr>
            <w:tcW w:w="3219" w:type="dxa"/>
            <w:gridSpan w:val="7"/>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Продължителност на експозицията на събитие</w:t>
            </w:r>
          </w:p>
        </w:tc>
        <w:tc>
          <w:tcPr>
            <w:tcW w:w="3221" w:type="dxa"/>
            <w:gridSpan w:val="3"/>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честота на събитията</w:t>
            </w:r>
          </w:p>
        </w:tc>
      </w:tr>
      <w:tr w:rsidR="008D6E9B" w:rsidRPr="0070774F">
        <w:trPr>
          <w:cantSplit/>
          <w:jc w:val="center"/>
        </w:trPr>
        <w:tc>
          <w:tcPr>
            <w:tcW w:w="3216" w:type="dxa"/>
            <w:gridSpan w:val="5"/>
            <w:vAlign w:val="center"/>
          </w:tcPr>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 xml:space="preserve">Пълнене на резервоара с препарат </w:t>
            </w:r>
          </w:p>
        </w:tc>
        <w:tc>
          <w:tcPr>
            <w:tcW w:w="3219" w:type="dxa"/>
            <w:gridSpan w:val="7"/>
            <w:vAlign w:val="center"/>
          </w:tcPr>
          <w:p w:rsidR="008D6E9B" w:rsidRPr="00703017" w:rsidRDefault="008D6E9B" w:rsidP="00E72338">
            <w:pPr>
              <w:keepNext/>
              <w:rPr>
                <w:rFonts w:ascii="Arial" w:hAnsi="Arial" w:cs="Arial"/>
                <w:sz w:val="16"/>
                <w:szCs w:val="16"/>
                <w:lang w:val="bg-BG"/>
              </w:rPr>
            </w:pPr>
            <w:r>
              <w:rPr>
                <w:rFonts w:ascii="Arial" w:hAnsi="Arial" w:cs="Arial"/>
                <w:sz w:val="16"/>
                <w:szCs w:val="16"/>
                <w:lang w:val="bg-BG"/>
              </w:rPr>
              <w:t>Ca. 1</w:t>
            </w:r>
            <w:r w:rsidRPr="00373998">
              <w:rPr>
                <w:rFonts w:ascii="Arial" w:hAnsi="Arial" w:cs="Arial"/>
                <w:sz w:val="16"/>
                <w:szCs w:val="16"/>
                <w:lang w:val="nb-NO"/>
              </w:rPr>
              <w:t>,</w:t>
            </w:r>
            <w:r w:rsidRPr="00703017">
              <w:rPr>
                <w:rFonts w:ascii="Arial" w:hAnsi="Arial" w:cs="Arial"/>
                <w:sz w:val="16"/>
                <w:szCs w:val="16"/>
                <w:lang w:val="bg-BG"/>
              </w:rPr>
              <w:t>33 min на пълнене, общо &lt; 15 min</w:t>
            </w:r>
          </w:p>
        </w:tc>
        <w:tc>
          <w:tcPr>
            <w:tcW w:w="3221" w:type="dxa"/>
            <w:gridSpan w:val="3"/>
            <w:vAlign w:val="center"/>
          </w:tcPr>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Преди всяко гмуркане (до 4 пъти)</w:t>
            </w:r>
          </w:p>
        </w:tc>
      </w:tr>
      <w:tr w:rsidR="008D6E9B" w:rsidRPr="00703017">
        <w:trPr>
          <w:cantSplit/>
          <w:jc w:val="center"/>
        </w:trPr>
        <w:tc>
          <w:tcPr>
            <w:tcW w:w="3216" w:type="dxa"/>
            <w:gridSpan w:val="5"/>
            <w:vAlign w:val="center"/>
          </w:tcPr>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 xml:space="preserve">Използване на дихателни апарати със затворен кръг </w:t>
            </w:r>
          </w:p>
        </w:tc>
        <w:tc>
          <w:tcPr>
            <w:tcW w:w="3219" w:type="dxa"/>
            <w:gridSpan w:val="7"/>
            <w:vAlign w:val="center"/>
          </w:tcPr>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1-2 часа</w:t>
            </w:r>
          </w:p>
        </w:tc>
        <w:tc>
          <w:tcPr>
            <w:tcW w:w="3221" w:type="dxa"/>
            <w:gridSpan w:val="3"/>
            <w:vAlign w:val="center"/>
          </w:tcPr>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До 4 гмуркания на ден</w:t>
            </w:r>
          </w:p>
        </w:tc>
      </w:tr>
      <w:tr w:rsidR="008D6E9B" w:rsidRPr="0070774F">
        <w:trPr>
          <w:cantSplit/>
          <w:jc w:val="center"/>
        </w:trPr>
        <w:tc>
          <w:tcPr>
            <w:tcW w:w="3216" w:type="dxa"/>
            <w:gridSpan w:val="5"/>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Чистене и изпразване на апарата</w:t>
            </w:r>
          </w:p>
        </w:tc>
        <w:tc>
          <w:tcPr>
            <w:tcW w:w="3219" w:type="dxa"/>
            <w:gridSpan w:val="7"/>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&lt; 15 min</w:t>
            </w:r>
          </w:p>
        </w:tc>
        <w:tc>
          <w:tcPr>
            <w:tcW w:w="3221" w:type="dxa"/>
            <w:gridSpan w:val="3"/>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След всяко гмуркане (до 4 пъти)</w:t>
            </w:r>
          </w:p>
        </w:tc>
      </w:tr>
      <w:tr w:rsidR="008D6E9B" w:rsidRPr="0070774F">
        <w:trPr>
          <w:cantSplit/>
          <w:jc w:val="center"/>
        </w:trPr>
        <w:tc>
          <w:tcPr>
            <w:tcW w:w="9656" w:type="dxa"/>
            <w:gridSpan w:val="15"/>
            <w:shd w:val="clear" w:color="auto" w:fill="C0C0C0"/>
            <w:vAlign w:val="center"/>
          </w:tcPr>
          <w:p w:rsidR="008D6E9B" w:rsidRPr="00703017" w:rsidRDefault="008D6E9B" w:rsidP="00E72338">
            <w:pPr>
              <w:keepNext/>
              <w:rPr>
                <w:rFonts w:ascii="Arial" w:hAnsi="Arial" w:cs="Arial"/>
                <w:b/>
                <w:bCs/>
                <w:color w:val="0000FF"/>
                <w:sz w:val="16"/>
                <w:szCs w:val="16"/>
                <w:lang w:val="bg-BG"/>
              </w:rPr>
            </w:pPr>
            <w:r w:rsidRPr="00703017">
              <w:rPr>
                <w:rFonts w:ascii="Arial" w:hAnsi="Arial" w:cs="Arial"/>
                <w:b/>
                <w:bCs/>
                <w:color w:val="0000FF"/>
                <w:sz w:val="16"/>
                <w:szCs w:val="16"/>
                <w:lang w:val="bg-BG"/>
              </w:rPr>
              <w:t xml:space="preserve">Човешки фактори, които не се влияят от управлението на риска  </w:t>
            </w:r>
          </w:p>
        </w:tc>
      </w:tr>
      <w:tr w:rsidR="008D6E9B" w:rsidRPr="0070774F">
        <w:trPr>
          <w:cantSplit/>
          <w:jc w:val="center"/>
        </w:trPr>
        <w:tc>
          <w:tcPr>
            <w:tcW w:w="1926" w:type="dxa"/>
            <w:gridSpan w:val="2"/>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Описание на задачата</w:t>
            </w:r>
          </w:p>
        </w:tc>
        <w:tc>
          <w:tcPr>
            <w:tcW w:w="1930" w:type="dxa"/>
            <w:gridSpan w:val="6"/>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Брой изложени</w:t>
            </w:r>
          </w:p>
        </w:tc>
        <w:tc>
          <w:tcPr>
            <w:tcW w:w="1810" w:type="dxa"/>
            <w:gridSpan w:val="3"/>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Скорост на дишане</w:t>
            </w:r>
          </w:p>
        </w:tc>
        <w:tc>
          <w:tcPr>
            <w:tcW w:w="2053" w:type="dxa"/>
            <w:gridSpan w:val="3"/>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Изложена част на тялото</w:t>
            </w:r>
          </w:p>
        </w:tc>
        <w:tc>
          <w:tcPr>
            <w:tcW w:w="1937" w:type="dxa"/>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Съответстваща площ от кожата [cm²]</w:t>
            </w:r>
          </w:p>
        </w:tc>
      </w:tr>
      <w:tr w:rsidR="008D6E9B" w:rsidRPr="00703017">
        <w:trPr>
          <w:cantSplit/>
          <w:jc w:val="center"/>
        </w:trPr>
        <w:tc>
          <w:tcPr>
            <w:tcW w:w="1926" w:type="dxa"/>
            <w:gridSpan w:val="2"/>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Пълнене на резервоара с препарат</w:t>
            </w:r>
          </w:p>
        </w:tc>
        <w:tc>
          <w:tcPr>
            <w:tcW w:w="1930" w:type="dxa"/>
            <w:gridSpan w:val="6"/>
            <w:vMerge w:val="restart"/>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възрастен</w:t>
            </w:r>
          </w:p>
        </w:tc>
        <w:tc>
          <w:tcPr>
            <w:tcW w:w="1810" w:type="dxa"/>
            <w:gridSpan w:val="3"/>
            <w:vMerge w:val="restart"/>
            <w:vAlign w:val="center"/>
          </w:tcPr>
          <w:p w:rsidR="008D6E9B" w:rsidRPr="00703017" w:rsidRDefault="008D6E9B" w:rsidP="00360A16">
            <w:pPr>
              <w:rPr>
                <w:rFonts w:ascii="Arial" w:hAnsi="Arial" w:cs="Arial"/>
                <w:sz w:val="16"/>
                <w:szCs w:val="16"/>
                <w:lang w:val="bg-BG"/>
              </w:rPr>
            </w:pPr>
            <w:r>
              <w:rPr>
                <w:rFonts w:ascii="Arial" w:hAnsi="Arial" w:cs="Arial"/>
                <w:sz w:val="16"/>
                <w:szCs w:val="16"/>
                <w:lang w:val="bg-BG"/>
              </w:rPr>
              <w:t>1</w:t>
            </w:r>
            <w:r w:rsidRPr="00373998">
              <w:rPr>
                <w:rFonts w:ascii="Arial" w:hAnsi="Arial" w:cs="Arial"/>
                <w:sz w:val="16"/>
                <w:szCs w:val="16"/>
                <w:lang w:val="bg-BG"/>
              </w:rPr>
              <w:t>,</w:t>
            </w:r>
            <w:r w:rsidRPr="00703017">
              <w:rPr>
                <w:rFonts w:ascii="Arial" w:hAnsi="Arial" w:cs="Arial"/>
                <w:sz w:val="16"/>
                <w:szCs w:val="16"/>
                <w:lang w:val="bg-BG"/>
              </w:rPr>
              <w:t>25 m³/</w:t>
            </w:r>
            <w:r>
              <w:rPr>
                <w:rFonts w:ascii="Arial" w:hAnsi="Arial" w:cs="Arial"/>
                <w:sz w:val="16"/>
                <w:szCs w:val="16"/>
                <w:lang w:val="de-DE"/>
              </w:rPr>
              <w:t>hr</w:t>
            </w:r>
            <w:r w:rsidRPr="00D14991">
              <w:rPr>
                <w:rFonts w:ascii="Arial" w:hAnsi="Arial" w:cs="Arial"/>
                <w:sz w:val="16"/>
                <w:szCs w:val="16"/>
                <w:lang w:val="bg-BG"/>
              </w:rPr>
              <w:t xml:space="preserve"> </w:t>
            </w:r>
            <w:r w:rsidRPr="00703017">
              <w:rPr>
                <w:rFonts w:ascii="Arial" w:hAnsi="Arial" w:cs="Arial"/>
                <w:sz w:val="16"/>
                <w:szCs w:val="16"/>
                <w:lang w:val="bg-BG"/>
              </w:rPr>
              <w:t>(лека трудова дейност)</w:t>
            </w:r>
          </w:p>
        </w:tc>
        <w:tc>
          <w:tcPr>
            <w:tcW w:w="2053" w:type="dxa"/>
            <w:gridSpan w:val="3"/>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ръце</w:t>
            </w:r>
          </w:p>
        </w:tc>
        <w:tc>
          <w:tcPr>
            <w:tcW w:w="1937"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840</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(Ръководство REACH R.15, мъже)</w:t>
            </w:r>
          </w:p>
        </w:tc>
      </w:tr>
      <w:tr w:rsidR="008D6E9B" w:rsidRPr="00703017">
        <w:trPr>
          <w:cantSplit/>
          <w:jc w:val="center"/>
        </w:trPr>
        <w:tc>
          <w:tcPr>
            <w:tcW w:w="1926" w:type="dxa"/>
            <w:gridSpan w:val="2"/>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Използване на дихателни апарати със затворен кръг </w:t>
            </w:r>
          </w:p>
        </w:tc>
        <w:tc>
          <w:tcPr>
            <w:tcW w:w="1930" w:type="dxa"/>
            <w:gridSpan w:val="6"/>
            <w:vMerge/>
            <w:vAlign w:val="center"/>
          </w:tcPr>
          <w:p w:rsidR="008D6E9B" w:rsidRPr="00703017" w:rsidRDefault="008D6E9B" w:rsidP="00E72338">
            <w:pPr>
              <w:rPr>
                <w:rFonts w:ascii="Arial" w:hAnsi="Arial" w:cs="Arial"/>
                <w:sz w:val="16"/>
                <w:szCs w:val="16"/>
                <w:lang w:val="bg-BG"/>
              </w:rPr>
            </w:pPr>
          </w:p>
        </w:tc>
        <w:tc>
          <w:tcPr>
            <w:tcW w:w="1810" w:type="dxa"/>
            <w:gridSpan w:val="3"/>
            <w:vMerge/>
            <w:vAlign w:val="center"/>
          </w:tcPr>
          <w:p w:rsidR="008D6E9B" w:rsidRPr="00703017" w:rsidRDefault="008D6E9B" w:rsidP="00E72338">
            <w:pPr>
              <w:rPr>
                <w:rFonts w:ascii="Arial" w:hAnsi="Arial" w:cs="Arial"/>
                <w:sz w:val="16"/>
                <w:szCs w:val="16"/>
                <w:highlight w:val="yellow"/>
                <w:lang w:val="bg-BG"/>
              </w:rPr>
            </w:pPr>
          </w:p>
        </w:tc>
        <w:tc>
          <w:tcPr>
            <w:tcW w:w="2053" w:type="dxa"/>
            <w:gridSpan w:val="3"/>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w:t>
            </w:r>
          </w:p>
        </w:tc>
        <w:tc>
          <w:tcPr>
            <w:tcW w:w="1937"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w:t>
            </w:r>
          </w:p>
        </w:tc>
      </w:tr>
      <w:tr w:rsidR="008D6E9B" w:rsidRPr="00703017">
        <w:trPr>
          <w:cantSplit/>
          <w:jc w:val="center"/>
        </w:trPr>
        <w:tc>
          <w:tcPr>
            <w:tcW w:w="1926" w:type="dxa"/>
            <w:gridSpan w:val="2"/>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Чистене и изпразване на апарата</w:t>
            </w:r>
          </w:p>
        </w:tc>
        <w:tc>
          <w:tcPr>
            <w:tcW w:w="1930" w:type="dxa"/>
            <w:gridSpan w:val="6"/>
            <w:vMerge/>
            <w:vAlign w:val="center"/>
          </w:tcPr>
          <w:p w:rsidR="008D6E9B" w:rsidRPr="00703017" w:rsidRDefault="008D6E9B" w:rsidP="00E72338">
            <w:pPr>
              <w:rPr>
                <w:rFonts w:ascii="Arial" w:hAnsi="Arial" w:cs="Arial"/>
                <w:sz w:val="16"/>
                <w:szCs w:val="16"/>
                <w:lang w:val="bg-BG"/>
              </w:rPr>
            </w:pPr>
          </w:p>
        </w:tc>
        <w:tc>
          <w:tcPr>
            <w:tcW w:w="1810" w:type="dxa"/>
            <w:gridSpan w:val="3"/>
            <w:vMerge/>
            <w:vAlign w:val="center"/>
          </w:tcPr>
          <w:p w:rsidR="008D6E9B" w:rsidRPr="00703017" w:rsidRDefault="008D6E9B" w:rsidP="00E72338">
            <w:pPr>
              <w:rPr>
                <w:rFonts w:ascii="Arial" w:hAnsi="Arial" w:cs="Arial"/>
                <w:sz w:val="16"/>
                <w:szCs w:val="16"/>
                <w:highlight w:val="yellow"/>
                <w:lang w:val="bg-BG"/>
              </w:rPr>
            </w:pPr>
          </w:p>
        </w:tc>
        <w:tc>
          <w:tcPr>
            <w:tcW w:w="2053" w:type="dxa"/>
            <w:gridSpan w:val="3"/>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ръце</w:t>
            </w:r>
          </w:p>
        </w:tc>
        <w:tc>
          <w:tcPr>
            <w:tcW w:w="1937"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840</w:t>
            </w:r>
          </w:p>
          <w:p w:rsidR="008D6E9B" w:rsidRPr="00703017" w:rsidRDefault="008D6E9B" w:rsidP="00E72338">
            <w:pPr>
              <w:rPr>
                <w:rFonts w:ascii="Arial" w:hAnsi="Arial" w:cs="Arial"/>
                <w:sz w:val="16"/>
                <w:szCs w:val="16"/>
                <w:highlight w:val="yellow"/>
                <w:lang w:val="bg-BG"/>
              </w:rPr>
            </w:pPr>
            <w:r w:rsidRPr="00703017">
              <w:rPr>
                <w:rFonts w:ascii="Arial" w:hAnsi="Arial" w:cs="Arial"/>
                <w:sz w:val="16"/>
                <w:szCs w:val="16"/>
                <w:lang w:val="bg-BG"/>
              </w:rPr>
              <w:t>(Ръководство REACH R.15, мъже)</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rPr>
                <w:rFonts w:ascii="Arial" w:hAnsi="Arial" w:cs="Arial"/>
                <w:i/>
                <w:iCs/>
                <w:color w:val="0000FF"/>
                <w:sz w:val="16"/>
                <w:szCs w:val="16"/>
                <w:lang w:val="bg-BG"/>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потребителите</w:t>
            </w:r>
          </w:p>
        </w:tc>
      </w:tr>
      <w:tr w:rsidR="008D6E9B" w:rsidRPr="0070774F">
        <w:trPr>
          <w:cantSplit/>
          <w:jc w:val="center"/>
        </w:trPr>
        <w:tc>
          <w:tcPr>
            <w:tcW w:w="2690" w:type="dxa"/>
            <w:gridSpan w:val="4"/>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Описание на задачата</w:t>
            </w:r>
          </w:p>
        </w:tc>
        <w:tc>
          <w:tcPr>
            <w:tcW w:w="2321" w:type="dxa"/>
            <w:gridSpan w:val="6"/>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Вътре/вън</w:t>
            </w:r>
          </w:p>
        </w:tc>
        <w:tc>
          <w:tcPr>
            <w:tcW w:w="2321" w:type="dxa"/>
            <w:gridSpan w:val="3"/>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Обем на стаята</w:t>
            </w:r>
          </w:p>
        </w:tc>
        <w:tc>
          <w:tcPr>
            <w:tcW w:w="2324" w:type="dxa"/>
            <w:gridSpan w:val="2"/>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Скорост на обмяна на въздуха</w:t>
            </w:r>
          </w:p>
        </w:tc>
      </w:tr>
      <w:tr w:rsidR="008D6E9B" w:rsidRPr="00703017">
        <w:trPr>
          <w:cantSplit/>
          <w:jc w:val="center"/>
        </w:trPr>
        <w:tc>
          <w:tcPr>
            <w:tcW w:w="2690" w:type="dxa"/>
            <w:gridSpan w:val="4"/>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Пълнене на резервоара с препарат </w:t>
            </w:r>
          </w:p>
        </w:tc>
        <w:tc>
          <w:tcPr>
            <w:tcW w:w="2321" w:type="dxa"/>
            <w:gridSpan w:val="6"/>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NR</w:t>
            </w:r>
          </w:p>
        </w:tc>
        <w:tc>
          <w:tcPr>
            <w:tcW w:w="2321" w:type="dxa"/>
            <w:gridSpan w:val="3"/>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NR</w:t>
            </w:r>
          </w:p>
        </w:tc>
        <w:tc>
          <w:tcPr>
            <w:tcW w:w="2324" w:type="dxa"/>
            <w:gridSpan w:val="2"/>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NR</w:t>
            </w:r>
          </w:p>
        </w:tc>
      </w:tr>
      <w:tr w:rsidR="008D6E9B" w:rsidRPr="00703017">
        <w:trPr>
          <w:cantSplit/>
          <w:jc w:val="center"/>
        </w:trPr>
        <w:tc>
          <w:tcPr>
            <w:tcW w:w="2690" w:type="dxa"/>
            <w:gridSpan w:val="4"/>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Използване на дихателни апарати със затворен кръг </w:t>
            </w:r>
          </w:p>
        </w:tc>
        <w:tc>
          <w:tcPr>
            <w:tcW w:w="2321" w:type="dxa"/>
            <w:gridSpan w:val="6"/>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w:t>
            </w:r>
          </w:p>
        </w:tc>
        <w:tc>
          <w:tcPr>
            <w:tcW w:w="2321" w:type="dxa"/>
            <w:gridSpan w:val="3"/>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w:t>
            </w:r>
          </w:p>
        </w:tc>
        <w:tc>
          <w:tcPr>
            <w:tcW w:w="2324" w:type="dxa"/>
            <w:gridSpan w:val="2"/>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w:t>
            </w:r>
          </w:p>
        </w:tc>
      </w:tr>
      <w:tr w:rsidR="008D6E9B" w:rsidRPr="00703017">
        <w:trPr>
          <w:cantSplit/>
          <w:jc w:val="center"/>
        </w:trPr>
        <w:tc>
          <w:tcPr>
            <w:tcW w:w="2690" w:type="dxa"/>
            <w:gridSpan w:val="4"/>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Чистене и изпразване на апарата</w:t>
            </w:r>
          </w:p>
        </w:tc>
        <w:tc>
          <w:tcPr>
            <w:tcW w:w="2321" w:type="dxa"/>
            <w:gridSpan w:val="6"/>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NR</w:t>
            </w:r>
          </w:p>
        </w:tc>
        <w:tc>
          <w:tcPr>
            <w:tcW w:w="2321" w:type="dxa"/>
            <w:gridSpan w:val="3"/>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NR</w:t>
            </w:r>
          </w:p>
        </w:tc>
        <w:tc>
          <w:tcPr>
            <w:tcW w:w="2324" w:type="dxa"/>
            <w:gridSpan w:val="2"/>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NR</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rPr>
                <w:rFonts w:ascii="Arial" w:hAnsi="Arial" w:cs="Arial"/>
                <w:i/>
                <w:iCs/>
                <w:color w:val="0000FF"/>
                <w:sz w:val="16"/>
                <w:szCs w:val="16"/>
                <w:lang w:val="bg-BG"/>
              </w:rPr>
            </w:pPr>
            <w:r w:rsidRPr="00703017">
              <w:rPr>
                <w:rFonts w:ascii="Arial" w:hAnsi="Arial" w:cs="Arial"/>
                <w:b/>
                <w:bCs/>
                <w:color w:val="0000FF"/>
                <w:sz w:val="16"/>
                <w:szCs w:val="16"/>
                <w:lang w:val="bg-BG"/>
              </w:rPr>
              <w:t xml:space="preserve">Условия и мерки за информиране и съвети за поведението на потребителя </w:t>
            </w:r>
          </w:p>
        </w:tc>
      </w:tr>
      <w:tr w:rsidR="008D6E9B" w:rsidRPr="0070774F">
        <w:trPr>
          <w:cantSplit/>
          <w:jc w:val="center"/>
        </w:trPr>
        <w:tc>
          <w:tcPr>
            <w:tcW w:w="9656" w:type="dxa"/>
            <w:gridSpan w:val="15"/>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Не допускайте до очите, кожата или дрехите. Не вдишвайте праха</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Дръжте контейнерите плътно затворени, за да не изсъхва абсорбентът. </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Пазете от достъп на деца. </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Добре се измийте след работа. </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При контакт с очите, изплакнете веднага с много вода и потърсете лекарска помощ.</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Не смесвайте с киселини.</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Внимателно прочетете инструкциите на дихателния апарат, за да сте сигурни в правилната му употреба.</w:t>
            </w:r>
          </w:p>
        </w:tc>
      </w:tr>
      <w:tr w:rsidR="008D6E9B" w:rsidRPr="0070774F">
        <w:trPr>
          <w:cantSplit/>
          <w:jc w:val="center"/>
        </w:trPr>
        <w:tc>
          <w:tcPr>
            <w:tcW w:w="9656" w:type="dxa"/>
            <w:gridSpan w:val="15"/>
            <w:shd w:val="clear" w:color="auto" w:fill="C0C0C0"/>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за лична защита и хигиена</w:t>
            </w:r>
          </w:p>
        </w:tc>
      </w:tr>
      <w:tr w:rsidR="008D6E9B" w:rsidRPr="00703017">
        <w:trPr>
          <w:cantSplit/>
          <w:jc w:val="center"/>
        </w:trPr>
        <w:tc>
          <w:tcPr>
            <w:tcW w:w="9656" w:type="dxa"/>
            <w:gridSpan w:val="15"/>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Носете подходящи ръкавици, очила и защитно облекло по време на работа с веществото. Използвайте филтърна полумаска (тип FFP2 съгласно EN 149). </w:t>
            </w:r>
          </w:p>
        </w:tc>
      </w:tr>
      <w:tr w:rsidR="008D6E9B" w:rsidRPr="00703017">
        <w:trPr>
          <w:cantSplit/>
          <w:jc w:val="center"/>
        </w:trPr>
        <w:tc>
          <w:tcPr>
            <w:tcW w:w="9656" w:type="dxa"/>
            <w:gridSpan w:val="15"/>
            <w:shd w:val="clear" w:color="auto" w:fill="00FFFF"/>
            <w:vAlign w:val="center"/>
          </w:tcPr>
          <w:p w:rsidR="008D6E9B" w:rsidRPr="00703017" w:rsidRDefault="008D6E9B" w:rsidP="00E72338">
            <w:pPr>
              <w:rPr>
                <w:rFonts w:ascii="Arial" w:hAnsi="Arial" w:cs="Arial"/>
                <w:b/>
                <w:bCs/>
                <w:color w:val="0000FF"/>
                <w:sz w:val="20"/>
                <w:szCs w:val="20"/>
                <w:lang w:val="bg-BG"/>
              </w:rPr>
            </w:pPr>
            <w:r w:rsidRPr="00703017">
              <w:rPr>
                <w:rFonts w:ascii="Arial" w:hAnsi="Arial" w:cs="Arial"/>
                <w:b/>
                <w:bCs/>
                <w:color w:val="0000FF"/>
                <w:sz w:val="20"/>
                <w:szCs w:val="20"/>
                <w:lang w:val="bg-BG"/>
              </w:rPr>
              <w:t>2.2 Контрол на експозицията за околната среда</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Характеристика на продукта</w:t>
            </w:r>
          </w:p>
        </w:tc>
      </w:tr>
      <w:tr w:rsidR="008D6E9B" w:rsidRPr="00703017">
        <w:trPr>
          <w:cantSplit/>
          <w:jc w:val="center"/>
        </w:trPr>
        <w:tc>
          <w:tcPr>
            <w:tcW w:w="9656" w:type="dxa"/>
            <w:gridSpan w:val="15"/>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Използвани количества*</w:t>
            </w:r>
          </w:p>
        </w:tc>
      </w:tr>
      <w:tr w:rsidR="008D6E9B" w:rsidRPr="00703017">
        <w:trPr>
          <w:cantSplit/>
          <w:jc w:val="center"/>
        </w:trPr>
        <w:tc>
          <w:tcPr>
            <w:tcW w:w="9656" w:type="dxa"/>
            <w:gridSpan w:val="15"/>
            <w:vAlign w:val="center"/>
          </w:tcPr>
          <w:p w:rsidR="008D6E9B" w:rsidRPr="00703017" w:rsidRDefault="008D6E9B" w:rsidP="00E72338">
            <w:pPr>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Честота и продължителност на употребата</w:t>
            </w:r>
          </w:p>
        </w:tc>
      </w:tr>
      <w:tr w:rsidR="008D6E9B" w:rsidRPr="00703017">
        <w:trPr>
          <w:cantSplit/>
          <w:jc w:val="center"/>
        </w:trPr>
        <w:tc>
          <w:tcPr>
            <w:tcW w:w="9656" w:type="dxa"/>
            <w:gridSpan w:val="15"/>
            <w:vAlign w:val="center"/>
          </w:tcPr>
          <w:p w:rsidR="008D6E9B" w:rsidRPr="00703017" w:rsidRDefault="008D6E9B" w:rsidP="00E72338">
            <w:pPr>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15"/>
            <w:shd w:val="clear" w:color="auto" w:fill="CCCCCC"/>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 xml:space="preserve">Фактори на околната среда, които не се влияят от управлението на риска  </w:t>
            </w:r>
          </w:p>
        </w:tc>
      </w:tr>
      <w:tr w:rsidR="008D6E9B" w:rsidRPr="00703017">
        <w:trPr>
          <w:cantSplit/>
          <w:jc w:val="center"/>
        </w:trPr>
        <w:tc>
          <w:tcPr>
            <w:tcW w:w="9656" w:type="dxa"/>
            <w:gridSpan w:val="15"/>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Речен поток по презумпция и разливане</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rPr>
                <w:rFonts w:ascii="Arial" w:hAnsi="Arial" w:cs="Arial"/>
                <w:i/>
                <w:iCs/>
                <w:color w:val="0000FF"/>
                <w:sz w:val="16"/>
                <w:szCs w:val="16"/>
                <w:lang w:val="bg-BG"/>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rPr>
          <w:cantSplit/>
          <w:jc w:val="center"/>
        </w:trPr>
        <w:tc>
          <w:tcPr>
            <w:tcW w:w="9656" w:type="dxa"/>
            <w:gridSpan w:val="15"/>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Вътре</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свързани с общинските ПСОВ</w:t>
            </w:r>
          </w:p>
        </w:tc>
      </w:tr>
      <w:tr w:rsidR="008D6E9B" w:rsidRPr="00703017">
        <w:trPr>
          <w:cantSplit/>
          <w:jc w:val="center"/>
        </w:trPr>
        <w:tc>
          <w:tcPr>
            <w:tcW w:w="9656" w:type="dxa"/>
            <w:gridSpan w:val="15"/>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Размер по презумпция на общинската канализационна система/ПСОВ и техника за обработване на утайката </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 xml:space="preserve">Условия и мерки, свързани с външното третиране на отпадъците за депониране </w:t>
            </w:r>
          </w:p>
        </w:tc>
      </w:tr>
      <w:tr w:rsidR="008D6E9B" w:rsidRPr="00703017">
        <w:trPr>
          <w:cantSplit/>
          <w:jc w:val="center"/>
        </w:trPr>
        <w:tc>
          <w:tcPr>
            <w:tcW w:w="9656" w:type="dxa"/>
            <w:gridSpan w:val="15"/>
            <w:vAlign w:val="center"/>
          </w:tcPr>
          <w:p w:rsidR="008D6E9B" w:rsidRPr="00703017" w:rsidRDefault="008D6E9B" w:rsidP="00E72338">
            <w:pPr>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15"/>
            <w:shd w:val="clear" w:color="auto" w:fill="C0C0C0"/>
            <w:vAlign w:val="center"/>
          </w:tcPr>
          <w:p w:rsidR="008D6E9B" w:rsidRPr="00703017" w:rsidRDefault="008D6E9B" w:rsidP="00E72338">
            <w:pPr>
              <w:rPr>
                <w:rFonts w:ascii="Arial" w:hAnsi="Arial" w:cs="Arial"/>
                <w:i/>
                <w:iCs/>
                <w:color w:val="0000FF"/>
                <w:sz w:val="16"/>
                <w:szCs w:val="16"/>
                <w:lang w:val="bg-BG"/>
              </w:rPr>
            </w:pPr>
            <w:r w:rsidRPr="00703017">
              <w:rPr>
                <w:rFonts w:ascii="Arial" w:hAnsi="Arial" w:cs="Arial"/>
                <w:b/>
                <w:bCs/>
                <w:color w:val="0000FF"/>
                <w:sz w:val="16"/>
                <w:szCs w:val="16"/>
                <w:lang w:val="bg-BG"/>
              </w:rPr>
              <w:lastRenderedPageBreak/>
              <w:t>Условия и мерки, свързани с външното регенериране на отпадъците</w:t>
            </w:r>
          </w:p>
        </w:tc>
      </w:tr>
      <w:tr w:rsidR="008D6E9B" w:rsidRPr="00703017">
        <w:trPr>
          <w:cantSplit/>
          <w:jc w:val="center"/>
        </w:trPr>
        <w:tc>
          <w:tcPr>
            <w:tcW w:w="9656" w:type="dxa"/>
            <w:gridSpan w:val="15"/>
            <w:vAlign w:val="center"/>
          </w:tcPr>
          <w:p w:rsidR="008D6E9B" w:rsidRPr="00703017" w:rsidRDefault="008D6E9B" w:rsidP="00E72338">
            <w:pPr>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15"/>
            <w:shd w:val="clear" w:color="auto" w:fill="00FFFF"/>
            <w:vAlign w:val="center"/>
          </w:tcPr>
          <w:p w:rsidR="008D6E9B" w:rsidRPr="00703017" w:rsidRDefault="008D6E9B" w:rsidP="00E72338">
            <w:pPr>
              <w:rPr>
                <w:rFonts w:ascii="Arial" w:hAnsi="Arial" w:cs="Arial"/>
                <w:i/>
                <w:iCs/>
                <w:color w:val="0000FF"/>
                <w:sz w:val="20"/>
                <w:szCs w:val="20"/>
                <w:lang w:val="bg-BG"/>
              </w:rPr>
            </w:pPr>
            <w:r w:rsidRPr="00703017">
              <w:rPr>
                <w:rFonts w:ascii="Arial" w:hAnsi="Arial" w:cs="Arial"/>
                <w:b/>
                <w:bCs/>
                <w:color w:val="0000FF"/>
                <w:sz w:val="20"/>
                <w:szCs w:val="20"/>
                <w:lang w:val="bg-BG"/>
              </w:rPr>
              <w:t>3. Оценка на експозицията и референция на източника</w:t>
            </w:r>
          </w:p>
        </w:tc>
      </w:tr>
      <w:tr w:rsidR="008D6E9B" w:rsidRPr="0070774F">
        <w:trPr>
          <w:cantSplit/>
          <w:jc w:val="center"/>
        </w:trPr>
        <w:tc>
          <w:tcPr>
            <w:tcW w:w="9656" w:type="dxa"/>
            <w:gridSpan w:val="15"/>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Съотношението на характеризиране на риска (RCR) е отношение на прецизната оценка на експозицията и съответното DNEL (получено безопасно ниво) и е дадено в скоби по-долу. За експозиция при вдишване, RCR се основава на акутното DNEL за </w:t>
            </w:r>
            <w:r>
              <w:rPr>
                <w:rFonts w:ascii="Arial" w:hAnsi="Arial" w:cs="Arial"/>
                <w:sz w:val="16"/>
                <w:szCs w:val="16"/>
                <w:lang w:val="bg-BG"/>
              </w:rPr>
              <w:t>варови</w:t>
            </w:r>
            <w:r w:rsidRPr="00703017">
              <w:rPr>
                <w:rFonts w:ascii="Arial" w:hAnsi="Arial" w:cs="Arial"/>
                <w:sz w:val="16"/>
                <w:szCs w:val="16"/>
                <w:lang w:val="bg-BG"/>
              </w:rPr>
              <w:t xml:space="preserve"> вещества от 4 mg/m³ (като вдишван прах) и съответната оценка на експозиция при вдишване (като вдишван прах). По този начин, RCR включва една допълнителна граница на сигурност, т</w:t>
            </w:r>
            <w:r>
              <w:rPr>
                <w:rFonts w:ascii="Arial" w:hAnsi="Arial" w:cs="Arial"/>
                <w:sz w:val="16"/>
                <w:szCs w:val="16"/>
                <w:lang w:val="bg-BG"/>
              </w:rPr>
              <w:t>ъй като вдишаната фракция е под</w:t>
            </w:r>
            <w:r w:rsidRPr="00703017">
              <w:rPr>
                <w:rFonts w:ascii="Arial" w:hAnsi="Arial" w:cs="Arial"/>
                <w:sz w:val="16"/>
                <w:szCs w:val="16"/>
                <w:lang w:val="bg-BG"/>
              </w:rPr>
              <w:t>фракция на вдишваната фракция, съгласно EN 481.</w:t>
            </w:r>
          </w:p>
          <w:p w:rsidR="008D6E9B" w:rsidRPr="00703017" w:rsidRDefault="008D6E9B" w:rsidP="00E72338">
            <w:pPr>
              <w:rPr>
                <w:rFonts w:ascii="Arial" w:hAnsi="Arial" w:cs="Arial"/>
                <w:sz w:val="16"/>
                <w:szCs w:val="16"/>
                <w:lang w:val="bg-BG" w:eastAsia="de-DE"/>
              </w:rPr>
            </w:pPr>
            <w:r w:rsidRPr="00703017">
              <w:rPr>
                <w:rFonts w:ascii="Arial" w:hAnsi="Arial" w:cs="Arial"/>
                <w:sz w:val="16"/>
                <w:szCs w:val="16"/>
                <w:lang w:val="bg-BG"/>
              </w:rPr>
              <w:t>Тъй като варовите вещества се класифицират като дразнещи кожата и очите, се извърши качествена оценка при дермална експозиция и експозиция на очите.</w:t>
            </w:r>
          </w:p>
          <w:p w:rsidR="008D6E9B" w:rsidRPr="00703017" w:rsidRDefault="008D6E9B" w:rsidP="00E72338">
            <w:pPr>
              <w:rPr>
                <w:rFonts w:ascii="Arial" w:hAnsi="Arial" w:cs="Arial"/>
                <w:i/>
                <w:iCs/>
                <w:sz w:val="16"/>
                <w:szCs w:val="16"/>
                <w:lang w:val="bg-BG"/>
              </w:rPr>
            </w:pPr>
            <w:r w:rsidRPr="00703017">
              <w:rPr>
                <w:rFonts w:ascii="Arial" w:hAnsi="Arial" w:cs="Arial"/>
                <w:sz w:val="16"/>
                <w:szCs w:val="16"/>
                <w:lang w:val="bg-BG"/>
              </w:rPr>
              <w:t>Поради много специализирания вид потребители (гмуркачи, които сами си пълнят резервоарите с очистител на CO</w:t>
            </w:r>
            <w:r w:rsidRPr="00703017">
              <w:rPr>
                <w:rFonts w:ascii="Arial" w:hAnsi="Arial" w:cs="Arial"/>
                <w:sz w:val="16"/>
                <w:szCs w:val="16"/>
                <w:vertAlign w:val="subscript"/>
                <w:lang w:val="bg-BG"/>
              </w:rPr>
              <w:t>2</w:t>
            </w:r>
            <w:r w:rsidRPr="00703017">
              <w:rPr>
                <w:rFonts w:ascii="Arial" w:hAnsi="Arial" w:cs="Arial"/>
                <w:sz w:val="16"/>
                <w:szCs w:val="16"/>
                <w:lang w:val="bg-BG"/>
              </w:rPr>
              <w:t>), може да се приеме, че инструкциите ще бъдат взети предвид за намаляване на експозицията</w:t>
            </w:r>
          </w:p>
        </w:tc>
      </w:tr>
      <w:tr w:rsidR="008D6E9B" w:rsidRPr="00703017">
        <w:trPr>
          <w:cantSplit/>
          <w:jc w:val="center"/>
        </w:trPr>
        <w:tc>
          <w:tcPr>
            <w:tcW w:w="9656" w:type="dxa"/>
            <w:gridSpan w:val="15"/>
            <w:shd w:val="clear" w:color="auto" w:fill="BFBFBF"/>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Човешка експозиция</w:t>
            </w:r>
          </w:p>
        </w:tc>
      </w:tr>
      <w:tr w:rsidR="008D6E9B" w:rsidRPr="00703017">
        <w:trPr>
          <w:cantSplit/>
          <w:jc w:val="center"/>
        </w:trPr>
        <w:tc>
          <w:tcPr>
            <w:tcW w:w="9656" w:type="dxa"/>
            <w:gridSpan w:val="15"/>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Пълнене на резервоара с препарат</w:t>
            </w:r>
            <w:r w:rsidRPr="00703017">
              <w:rPr>
                <w:rFonts w:ascii="Arial" w:hAnsi="Arial" w:cs="Arial"/>
                <w:sz w:val="16"/>
                <w:szCs w:val="16"/>
                <w:lang w:val="bg-BG"/>
              </w:rPr>
              <w:t xml:space="preserve"> </w:t>
            </w:r>
          </w:p>
        </w:tc>
      </w:tr>
      <w:tr w:rsidR="008D6E9B" w:rsidRPr="00703017">
        <w:trPr>
          <w:cantSplit/>
          <w:jc w:val="center"/>
        </w:trPr>
        <w:tc>
          <w:tcPr>
            <w:tcW w:w="1699" w:type="dxa"/>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Маршрут на експозицията</w:t>
            </w:r>
          </w:p>
        </w:tc>
        <w:tc>
          <w:tcPr>
            <w:tcW w:w="2833" w:type="dxa"/>
            <w:gridSpan w:val="8"/>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Оценка на експозиция</w:t>
            </w:r>
          </w:p>
        </w:tc>
        <w:tc>
          <w:tcPr>
            <w:tcW w:w="5124" w:type="dxa"/>
            <w:gridSpan w:val="6"/>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Използван метод, коментари</w:t>
            </w:r>
          </w:p>
        </w:tc>
      </w:tr>
      <w:tr w:rsidR="008D6E9B" w:rsidRPr="0070774F">
        <w:trPr>
          <w:cantSplit/>
          <w:jc w:val="center"/>
        </w:trPr>
        <w:tc>
          <w:tcPr>
            <w:tcW w:w="1699"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Орален</w:t>
            </w:r>
          </w:p>
        </w:tc>
        <w:tc>
          <w:tcPr>
            <w:tcW w:w="2833"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w:t>
            </w:r>
          </w:p>
        </w:tc>
        <w:tc>
          <w:tcPr>
            <w:tcW w:w="5124" w:type="dxa"/>
            <w:gridSpan w:val="6"/>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Не се появява орална експозиция като част от намеренията за употреба.</w:t>
            </w:r>
          </w:p>
        </w:tc>
      </w:tr>
      <w:tr w:rsidR="008D6E9B" w:rsidRPr="0070774F">
        <w:trPr>
          <w:cantSplit/>
          <w:jc w:val="center"/>
        </w:trPr>
        <w:tc>
          <w:tcPr>
            <w:tcW w:w="1699"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Дермален</w:t>
            </w:r>
          </w:p>
        </w:tc>
        <w:tc>
          <w:tcPr>
            <w:tcW w:w="2833"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w:t>
            </w:r>
          </w:p>
        </w:tc>
        <w:tc>
          <w:tcPr>
            <w:tcW w:w="5124" w:type="dxa"/>
            <w:gridSpan w:val="6"/>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D14991">
            <w:pPr>
              <w:rPr>
                <w:rFonts w:ascii="Arial" w:hAnsi="Arial" w:cs="Arial"/>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Но не може да се изключи кожен контакт с праха при товарене на варовото вещество или директен контакт с гранулите, ако не носят предпазни ръкавици при работа. В резултат на това </w:t>
            </w:r>
            <w:r w:rsidRPr="00703017">
              <w:rPr>
                <w:rFonts w:ascii="Arial" w:hAnsi="Arial" w:cs="Arial"/>
                <w:color w:val="000000"/>
                <w:sz w:val="16"/>
                <w:szCs w:val="16"/>
                <w:lang w:val="bg-BG"/>
              </w:rPr>
              <w:t>може понякога да се появи леко раздразнение, което лесно се отстрани чрез бърза промивка с вода.</w:t>
            </w:r>
          </w:p>
        </w:tc>
      </w:tr>
      <w:tr w:rsidR="008D6E9B" w:rsidRPr="0070774F">
        <w:trPr>
          <w:cantSplit/>
          <w:jc w:val="center"/>
        </w:trPr>
        <w:tc>
          <w:tcPr>
            <w:tcW w:w="1699" w:type="dxa"/>
            <w:vAlign w:val="center"/>
          </w:tcPr>
          <w:p w:rsidR="008D6E9B" w:rsidRPr="00703017" w:rsidRDefault="008D6E9B" w:rsidP="00E72338">
            <w:pPr>
              <w:rPr>
                <w:rFonts w:ascii="Arial" w:hAnsi="Arial" w:cs="Arial"/>
                <w:sz w:val="16"/>
                <w:szCs w:val="16"/>
                <w:lang w:val="bg-BG"/>
              </w:rPr>
            </w:pPr>
            <w:r w:rsidRPr="00360A16">
              <w:rPr>
                <w:rFonts w:ascii="Arial" w:hAnsi="Arial" w:cs="Arial"/>
                <w:sz w:val="16"/>
                <w:szCs w:val="16"/>
                <w:lang w:val="bg-BG"/>
              </w:rPr>
              <w:t>Очи</w:t>
            </w:r>
          </w:p>
        </w:tc>
        <w:tc>
          <w:tcPr>
            <w:tcW w:w="2833" w:type="dxa"/>
            <w:gridSpan w:val="8"/>
            <w:vAlign w:val="center"/>
          </w:tcPr>
          <w:p w:rsidR="008D6E9B" w:rsidRPr="00703017" w:rsidRDefault="008D6E9B" w:rsidP="00E72338">
            <w:pPr>
              <w:rPr>
                <w:rFonts w:ascii="Arial" w:hAnsi="Arial" w:cs="Arial"/>
                <w:sz w:val="16"/>
                <w:szCs w:val="16"/>
                <w:highlight w:val="yellow"/>
                <w:lang w:val="bg-BG"/>
              </w:rPr>
            </w:pPr>
            <w:r w:rsidRPr="00703017">
              <w:rPr>
                <w:rFonts w:ascii="Arial" w:hAnsi="Arial" w:cs="Arial"/>
                <w:sz w:val="16"/>
                <w:szCs w:val="16"/>
                <w:lang w:val="bg-BG"/>
              </w:rPr>
              <w:t>Прах</w:t>
            </w:r>
          </w:p>
        </w:tc>
        <w:tc>
          <w:tcPr>
            <w:tcW w:w="5124" w:type="dxa"/>
            <w:gridSpan w:val="6"/>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Ако се вземат предвид мерките за ограничаване на риска, не си очаква никаква човешка експозиция. Прахът от зареждането на абсорбент се очаква да е минимален, затова и експозицията на очите ще минимална дори без предпазни очила. Независимо от това, след инцидентна експозиция се препоръчва бърза промивка с вода и търсене на медицинска помощ.</w:t>
            </w:r>
          </w:p>
        </w:tc>
      </w:tr>
      <w:tr w:rsidR="008D6E9B" w:rsidRPr="0070774F">
        <w:trPr>
          <w:cantSplit/>
          <w:jc w:val="center"/>
        </w:trPr>
        <w:tc>
          <w:tcPr>
            <w:tcW w:w="1699"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Вдишване</w:t>
            </w:r>
          </w:p>
        </w:tc>
        <w:tc>
          <w:tcPr>
            <w:tcW w:w="2833" w:type="dxa"/>
            <w:gridSpan w:val="8"/>
            <w:vAlign w:val="center"/>
          </w:tcPr>
          <w:p w:rsidR="008D6E9B" w:rsidRPr="00703017" w:rsidRDefault="008D6E9B" w:rsidP="00E72338">
            <w:pPr>
              <w:rPr>
                <w:rFonts w:ascii="Arial" w:hAnsi="Arial" w:cs="Arial"/>
                <w:sz w:val="16"/>
                <w:szCs w:val="16"/>
                <w:lang w:val="bg-BG"/>
              </w:rPr>
            </w:pPr>
            <w:r>
              <w:rPr>
                <w:rFonts w:ascii="Arial" w:hAnsi="Arial" w:cs="Arial"/>
                <w:sz w:val="16"/>
                <w:szCs w:val="16"/>
                <w:lang w:val="bg-BG"/>
              </w:rPr>
              <w:t>Малка задача: 1</w:t>
            </w:r>
            <w:r w:rsidRPr="00373998">
              <w:rPr>
                <w:rFonts w:ascii="Arial" w:hAnsi="Arial" w:cs="Arial"/>
                <w:sz w:val="16"/>
                <w:szCs w:val="16"/>
                <w:lang w:val="bg-BG"/>
              </w:rPr>
              <w:t>,</w:t>
            </w:r>
            <w:r w:rsidRPr="00703017">
              <w:rPr>
                <w:rFonts w:ascii="Arial" w:hAnsi="Arial" w:cs="Arial"/>
                <w:sz w:val="16"/>
                <w:szCs w:val="16"/>
                <w:lang w:val="bg-BG"/>
              </w:rPr>
              <w:t>2 µg/m³ (3 × 10</w:t>
            </w:r>
            <w:r w:rsidRPr="00703017">
              <w:rPr>
                <w:rFonts w:ascii="Arial" w:hAnsi="Arial" w:cs="Arial"/>
                <w:sz w:val="16"/>
                <w:szCs w:val="16"/>
                <w:vertAlign w:val="superscript"/>
                <w:lang w:val="bg-BG"/>
              </w:rPr>
              <w:t>-4</w:t>
            </w:r>
            <w:r w:rsidRPr="00703017">
              <w:rPr>
                <w:rFonts w:ascii="Arial" w:hAnsi="Arial" w:cs="Arial"/>
                <w:sz w:val="16"/>
                <w:szCs w:val="16"/>
                <w:lang w:val="bg-BG"/>
              </w:rPr>
              <w:t>)</w:t>
            </w:r>
          </w:p>
          <w:p w:rsidR="008D6E9B" w:rsidRPr="00703017" w:rsidRDefault="008D6E9B" w:rsidP="00E72338">
            <w:pPr>
              <w:rPr>
                <w:rFonts w:ascii="Arial" w:hAnsi="Arial" w:cs="Arial"/>
                <w:sz w:val="16"/>
                <w:szCs w:val="16"/>
                <w:lang w:val="bg-BG"/>
              </w:rPr>
            </w:pPr>
            <w:r>
              <w:rPr>
                <w:rFonts w:ascii="Arial" w:hAnsi="Arial" w:cs="Arial"/>
                <w:sz w:val="16"/>
                <w:szCs w:val="16"/>
                <w:lang w:val="bg-BG"/>
              </w:rPr>
              <w:t>Голяма задача: 12 µg/m³ (0</w:t>
            </w:r>
            <w:r w:rsidRPr="00373998">
              <w:rPr>
                <w:rFonts w:ascii="Arial" w:hAnsi="Arial" w:cs="Arial"/>
                <w:sz w:val="16"/>
                <w:szCs w:val="16"/>
                <w:lang w:val="bg-BG"/>
              </w:rPr>
              <w:t>,</w:t>
            </w:r>
            <w:r w:rsidRPr="00703017">
              <w:rPr>
                <w:rFonts w:ascii="Arial" w:hAnsi="Arial" w:cs="Arial"/>
                <w:sz w:val="16"/>
                <w:szCs w:val="16"/>
                <w:lang w:val="bg-BG"/>
              </w:rPr>
              <w:t>003)</w:t>
            </w:r>
          </w:p>
        </w:tc>
        <w:tc>
          <w:tcPr>
            <w:tcW w:w="5124" w:type="dxa"/>
            <w:gridSpan w:val="6"/>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Количествена оценка</w:t>
            </w:r>
          </w:p>
          <w:p w:rsidR="008D6E9B" w:rsidRPr="00703017" w:rsidRDefault="008D6E9B" w:rsidP="00E72338">
            <w:pPr>
              <w:rPr>
                <w:rFonts w:ascii="Arial" w:hAnsi="Arial" w:cs="Arial"/>
                <w:sz w:val="16"/>
                <w:szCs w:val="16"/>
                <w:lang w:val="bg-BG" w:eastAsia="de-DE"/>
              </w:rPr>
            </w:pPr>
            <w:r w:rsidRPr="00703017">
              <w:rPr>
                <w:rFonts w:ascii="Arial" w:hAnsi="Arial" w:cs="Arial"/>
                <w:sz w:val="16"/>
                <w:szCs w:val="16"/>
                <w:lang w:val="bg-BG"/>
              </w:rPr>
              <w:t xml:space="preserve">Формирането на прах при наливане се разглежда с помощта на холандския модел (van Hemmen, 1992, както е описан в Раздел 9.0.3.1 по-горе) и прилагане на фактор за редуциране на праха 10 за грануларната форма. </w:t>
            </w:r>
          </w:p>
        </w:tc>
      </w:tr>
      <w:tr w:rsidR="008D6E9B" w:rsidRPr="0070774F">
        <w:trPr>
          <w:cantSplit/>
          <w:jc w:val="center"/>
        </w:trPr>
        <w:tc>
          <w:tcPr>
            <w:tcW w:w="9656" w:type="dxa"/>
            <w:gridSpan w:val="15"/>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Използване на дихателни апарати със затворен кръг</w:t>
            </w:r>
          </w:p>
        </w:tc>
      </w:tr>
      <w:tr w:rsidR="008D6E9B" w:rsidRPr="00703017">
        <w:trPr>
          <w:cantSplit/>
          <w:jc w:val="center"/>
        </w:trPr>
        <w:tc>
          <w:tcPr>
            <w:tcW w:w="1699" w:type="dxa"/>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Маршрут на експозицията</w:t>
            </w:r>
          </w:p>
        </w:tc>
        <w:tc>
          <w:tcPr>
            <w:tcW w:w="2833" w:type="dxa"/>
            <w:gridSpan w:val="8"/>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Оценка на експозиция</w:t>
            </w:r>
          </w:p>
        </w:tc>
        <w:tc>
          <w:tcPr>
            <w:tcW w:w="5124" w:type="dxa"/>
            <w:gridSpan w:val="6"/>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Използван метод, коментари</w:t>
            </w:r>
          </w:p>
        </w:tc>
      </w:tr>
      <w:tr w:rsidR="008D6E9B" w:rsidRPr="0070774F">
        <w:trPr>
          <w:cantSplit/>
          <w:jc w:val="center"/>
        </w:trPr>
        <w:tc>
          <w:tcPr>
            <w:tcW w:w="1699"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Орален</w:t>
            </w:r>
          </w:p>
        </w:tc>
        <w:tc>
          <w:tcPr>
            <w:tcW w:w="2833"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w:t>
            </w:r>
          </w:p>
        </w:tc>
        <w:tc>
          <w:tcPr>
            <w:tcW w:w="5124" w:type="dxa"/>
            <w:gridSpan w:val="6"/>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Не се появява орална експозиция като част от намеренията за употреба.</w:t>
            </w:r>
          </w:p>
        </w:tc>
      </w:tr>
      <w:tr w:rsidR="008D6E9B" w:rsidRPr="0070774F">
        <w:trPr>
          <w:cantSplit/>
          <w:jc w:val="center"/>
        </w:trPr>
        <w:tc>
          <w:tcPr>
            <w:tcW w:w="1699"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Дермален</w:t>
            </w:r>
          </w:p>
        </w:tc>
        <w:tc>
          <w:tcPr>
            <w:tcW w:w="2833"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w:t>
            </w:r>
          </w:p>
        </w:tc>
        <w:tc>
          <w:tcPr>
            <w:tcW w:w="5124" w:type="dxa"/>
            <w:gridSpan w:val="6"/>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Поради характеристиките на продукта, може да се заключи, че дермална експозиция на абсорбента в дихателните апарати не съществува. </w:t>
            </w:r>
          </w:p>
        </w:tc>
      </w:tr>
      <w:tr w:rsidR="008D6E9B" w:rsidRPr="0070774F">
        <w:trPr>
          <w:cantSplit/>
          <w:jc w:val="center"/>
        </w:trPr>
        <w:tc>
          <w:tcPr>
            <w:tcW w:w="1699" w:type="dxa"/>
            <w:vAlign w:val="center"/>
          </w:tcPr>
          <w:p w:rsidR="008D6E9B" w:rsidRPr="00703017" w:rsidRDefault="008D6E9B" w:rsidP="00E72338">
            <w:pPr>
              <w:rPr>
                <w:rFonts w:ascii="Arial" w:hAnsi="Arial" w:cs="Arial"/>
                <w:sz w:val="16"/>
                <w:szCs w:val="16"/>
                <w:lang w:val="bg-BG"/>
              </w:rPr>
            </w:pPr>
            <w:r w:rsidRPr="00360A16">
              <w:rPr>
                <w:rFonts w:ascii="Arial" w:hAnsi="Arial" w:cs="Arial"/>
                <w:sz w:val="16"/>
                <w:szCs w:val="16"/>
                <w:lang w:val="bg-BG"/>
              </w:rPr>
              <w:t>Очи</w:t>
            </w:r>
          </w:p>
        </w:tc>
        <w:tc>
          <w:tcPr>
            <w:tcW w:w="2833" w:type="dxa"/>
            <w:gridSpan w:val="8"/>
            <w:vAlign w:val="center"/>
          </w:tcPr>
          <w:p w:rsidR="008D6E9B" w:rsidRPr="00703017" w:rsidRDefault="008D6E9B" w:rsidP="00E72338">
            <w:pPr>
              <w:rPr>
                <w:rFonts w:ascii="Arial" w:hAnsi="Arial" w:cs="Arial"/>
                <w:sz w:val="16"/>
                <w:szCs w:val="16"/>
                <w:highlight w:val="yellow"/>
                <w:lang w:val="bg-BG"/>
              </w:rPr>
            </w:pPr>
            <w:r w:rsidRPr="00703017">
              <w:rPr>
                <w:rFonts w:ascii="Arial" w:hAnsi="Arial" w:cs="Arial"/>
                <w:sz w:val="16"/>
                <w:szCs w:val="16"/>
                <w:lang w:val="bg-BG"/>
              </w:rPr>
              <w:t>-</w:t>
            </w:r>
          </w:p>
        </w:tc>
        <w:tc>
          <w:tcPr>
            <w:tcW w:w="5124" w:type="dxa"/>
            <w:gridSpan w:val="6"/>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Поради характеристиките на продукта, може да се заключи че очната експозиция на абсорбента в дихателните апарати не съществува.</w:t>
            </w:r>
          </w:p>
        </w:tc>
      </w:tr>
      <w:tr w:rsidR="008D6E9B" w:rsidRPr="0070774F">
        <w:trPr>
          <w:cantSplit/>
          <w:jc w:val="center"/>
        </w:trPr>
        <w:tc>
          <w:tcPr>
            <w:tcW w:w="1699"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lastRenderedPageBreak/>
              <w:t>Вдишване</w:t>
            </w:r>
          </w:p>
        </w:tc>
        <w:tc>
          <w:tcPr>
            <w:tcW w:w="2833"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пренебрежима</w:t>
            </w:r>
          </w:p>
        </w:tc>
        <w:tc>
          <w:tcPr>
            <w:tcW w:w="5124" w:type="dxa"/>
            <w:gridSpan w:val="6"/>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rPr>
                <w:rFonts w:ascii="Arial" w:hAnsi="Arial" w:cs="Arial"/>
                <w:sz w:val="16"/>
                <w:szCs w:val="16"/>
                <w:lang w:val="bg-BG" w:eastAsia="de-DE"/>
              </w:rPr>
            </w:pPr>
            <w:r w:rsidRPr="00703017">
              <w:rPr>
                <w:rFonts w:ascii="Arial" w:hAnsi="Arial" w:cs="Arial"/>
                <w:sz w:val="16"/>
                <w:szCs w:val="16"/>
                <w:lang w:val="bg-BG"/>
              </w:rPr>
              <w:t>Препоръчва се да се забърше праха, преди да приключи сглобяването на апарата. Гмуркачи, които сами си пълнят резервоарите с очистител на CO</w:t>
            </w:r>
            <w:r w:rsidRPr="00703017">
              <w:rPr>
                <w:rFonts w:ascii="Arial" w:hAnsi="Arial" w:cs="Arial"/>
                <w:sz w:val="16"/>
                <w:szCs w:val="16"/>
                <w:vertAlign w:val="subscript"/>
                <w:lang w:val="bg-BG"/>
              </w:rPr>
              <w:t>2</w:t>
            </w:r>
            <w:r w:rsidRPr="00703017">
              <w:rPr>
                <w:rFonts w:ascii="Arial" w:hAnsi="Arial" w:cs="Arial"/>
                <w:sz w:val="16"/>
                <w:szCs w:val="16"/>
                <w:lang w:val="bg-BG"/>
              </w:rPr>
              <w:t>, представляват специфична подгрупа от групата на потребителите. Правилното използване на апарата и материалите е в техен собствен интерес, затова може да се приеме, че инструкциите ще бъдат взети предвид.</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Поради характеристиките на продукта и дадените препоръки, може да се заключи че експозицията при вдишване на абсорбента при използване на дихателните апарати е незначителна.</w:t>
            </w:r>
          </w:p>
        </w:tc>
      </w:tr>
      <w:tr w:rsidR="008D6E9B" w:rsidRPr="0070774F">
        <w:trPr>
          <w:cantSplit/>
          <w:jc w:val="center"/>
        </w:trPr>
        <w:tc>
          <w:tcPr>
            <w:tcW w:w="9656" w:type="dxa"/>
            <w:gridSpan w:val="15"/>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Чистене и изпразване на апарата</w:t>
            </w:r>
          </w:p>
        </w:tc>
      </w:tr>
      <w:tr w:rsidR="008D6E9B" w:rsidRPr="00703017">
        <w:trPr>
          <w:cantSplit/>
          <w:jc w:val="center"/>
        </w:trPr>
        <w:tc>
          <w:tcPr>
            <w:tcW w:w="1699" w:type="dxa"/>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Маршрут на експозицията</w:t>
            </w:r>
          </w:p>
        </w:tc>
        <w:tc>
          <w:tcPr>
            <w:tcW w:w="2833" w:type="dxa"/>
            <w:gridSpan w:val="8"/>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Оценка на експозиция</w:t>
            </w:r>
          </w:p>
        </w:tc>
        <w:tc>
          <w:tcPr>
            <w:tcW w:w="5124" w:type="dxa"/>
            <w:gridSpan w:val="6"/>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Използван метод, коментари</w:t>
            </w:r>
          </w:p>
        </w:tc>
      </w:tr>
      <w:tr w:rsidR="008D6E9B" w:rsidRPr="0070774F">
        <w:trPr>
          <w:cantSplit/>
          <w:jc w:val="center"/>
        </w:trPr>
        <w:tc>
          <w:tcPr>
            <w:tcW w:w="1699" w:type="dxa"/>
            <w:vAlign w:val="center"/>
          </w:tcPr>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Орален</w:t>
            </w:r>
          </w:p>
        </w:tc>
        <w:tc>
          <w:tcPr>
            <w:tcW w:w="2833" w:type="dxa"/>
            <w:gridSpan w:val="8"/>
            <w:vAlign w:val="center"/>
          </w:tcPr>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w:t>
            </w:r>
          </w:p>
        </w:tc>
        <w:tc>
          <w:tcPr>
            <w:tcW w:w="5124" w:type="dxa"/>
            <w:gridSpan w:val="6"/>
            <w:vAlign w:val="center"/>
          </w:tcPr>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Не се появява орална експозиция като част от намеренията за употреба.</w:t>
            </w:r>
          </w:p>
        </w:tc>
      </w:tr>
      <w:tr w:rsidR="008D6E9B" w:rsidRPr="0070774F">
        <w:trPr>
          <w:cantSplit/>
          <w:jc w:val="center"/>
        </w:trPr>
        <w:tc>
          <w:tcPr>
            <w:tcW w:w="1699"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Дермален</w:t>
            </w:r>
          </w:p>
        </w:tc>
        <w:tc>
          <w:tcPr>
            <w:tcW w:w="2833"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Прах и пръски </w:t>
            </w:r>
          </w:p>
        </w:tc>
        <w:tc>
          <w:tcPr>
            <w:tcW w:w="5124" w:type="dxa"/>
            <w:gridSpan w:val="6"/>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Но не може да се изключи кожен контакт с праха при изпразване на използваното гранулирано вещество или директен контакт с гранулите, ако не носят предпазни ръкавици при почистването. Нещо повече, по време на почистване на контейнера с вода може да възникне контакт с мокрия абсорбент. В резултат на това </w:t>
            </w:r>
            <w:r w:rsidRPr="00703017">
              <w:rPr>
                <w:rFonts w:ascii="Arial" w:hAnsi="Arial" w:cs="Arial"/>
                <w:color w:val="000000"/>
                <w:sz w:val="16"/>
                <w:szCs w:val="16"/>
                <w:lang w:val="bg-BG"/>
              </w:rPr>
              <w:t>може понякога да се появи леко раздразнение, което лесно се отстрани чрез бърза промивка с вода.</w:t>
            </w:r>
          </w:p>
        </w:tc>
      </w:tr>
      <w:tr w:rsidR="008D6E9B" w:rsidRPr="0070774F">
        <w:trPr>
          <w:cantSplit/>
          <w:jc w:val="center"/>
        </w:trPr>
        <w:tc>
          <w:tcPr>
            <w:tcW w:w="1699" w:type="dxa"/>
            <w:vAlign w:val="center"/>
          </w:tcPr>
          <w:p w:rsidR="008D6E9B" w:rsidRPr="00703017" w:rsidRDefault="008D6E9B" w:rsidP="00E72338">
            <w:pPr>
              <w:rPr>
                <w:rFonts w:ascii="Arial" w:hAnsi="Arial" w:cs="Arial"/>
                <w:sz w:val="16"/>
                <w:szCs w:val="16"/>
                <w:lang w:val="bg-BG"/>
              </w:rPr>
            </w:pPr>
            <w:r w:rsidRPr="00360A16">
              <w:rPr>
                <w:rFonts w:ascii="Arial" w:hAnsi="Arial" w:cs="Arial"/>
                <w:sz w:val="16"/>
                <w:szCs w:val="16"/>
                <w:lang w:val="bg-BG"/>
              </w:rPr>
              <w:t>Очи</w:t>
            </w:r>
          </w:p>
        </w:tc>
        <w:tc>
          <w:tcPr>
            <w:tcW w:w="2833"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Прах и пръски </w:t>
            </w:r>
          </w:p>
        </w:tc>
        <w:tc>
          <w:tcPr>
            <w:tcW w:w="5124" w:type="dxa"/>
            <w:gridSpan w:val="6"/>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Ако се вземат предвид мерките за ограничаване на риска, не си очаква никаква човешка експозиция. Но подобен контакт с праха от изпразване на използваното гранулирано вещество или по време на почистване на контейнера с вода с мокрия абсорбент може да възникне в много редки случаи. След инцидентна експозиция се препоръчва бърза промивка с вода и търсене на медицинска помощ.</w:t>
            </w:r>
          </w:p>
        </w:tc>
      </w:tr>
      <w:tr w:rsidR="008D6E9B" w:rsidRPr="0070774F">
        <w:trPr>
          <w:cantSplit/>
          <w:jc w:val="center"/>
        </w:trPr>
        <w:tc>
          <w:tcPr>
            <w:tcW w:w="1699"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Вдишване</w:t>
            </w:r>
          </w:p>
        </w:tc>
        <w:tc>
          <w:tcPr>
            <w:tcW w:w="2833" w:type="dxa"/>
            <w:gridSpan w:val="8"/>
            <w:vAlign w:val="center"/>
          </w:tcPr>
          <w:p w:rsidR="008D6E9B" w:rsidRPr="00703017" w:rsidRDefault="008D6E9B" w:rsidP="00E72338">
            <w:pPr>
              <w:rPr>
                <w:rFonts w:ascii="Arial" w:hAnsi="Arial" w:cs="Arial"/>
                <w:sz w:val="16"/>
                <w:szCs w:val="16"/>
                <w:lang w:val="bg-BG"/>
              </w:rPr>
            </w:pPr>
            <w:r>
              <w:rPr>
                <w:rFonts w:ascii="Arial" w:hAnsi="Arial" w:cs="Arial"/>
                <w:sz w:val="16"/>
                <w:szCs w:val="16"/>
                <w:lang w:val="bg-BG"/>
              </w:rPr>
              <w:t>Малка задача: 0</w:t>
            </w:r>
            <w:r w:rsidRPr="00373998">
              <w:rPr>
                <w:rFonts w:ascii="Arial" w:hAnsi="Arial" w:cs="Arial"/>
                <w:sz w:val="16"/>
                <w:szCs w:val="16"/>
                <w:lang w:val="bg-BG"/>
              </w:rPr>
              <w:t>,</w:t>
            </w:r>
            <w:r w:rsidRPr="00703017">
              <w:rPr>
                <w:rFonts w:ascii="Arial" w:hAnsi="Arial" w:cs="Arial"/>
                <w:sz w:val="16"/>
                <w:szCs w:val="16"/>
                <w:lang w:val="bg-BG"/>
              </w:rPr>
              <w:t xml:space="preserve">3 µg/m³ </w:t>
            </w:r>
            <w:r w:rsidRPr="005C2B76">
              <w:rPr>
                <w:rFonts w:ascii="Arial" w:hAnsi="Arial" w:cs="Arial"/>
                <w:sz w:val="16"/>
                <w:szCs w:val="16"/>
                <w:lang w:val="bg-BG"/>
              </w:rPr>
              <w:br/>
            </w:r>
            <w:r w:rsidRPr="00703017">
              <w:rPr>
                <w:rFonts w:ascii="Arial" w:hAnsi="Arial" w:cs="Arial"/>
                <w:sz w:val="16"/>
                <w:szCs w:val="16"/>
                <w:lang w:val="bg-BG"/>
              </w:rPr>
              <w:t>(7</w:t>
            </w:r>
            <w:r w:rsidRPr="00373998">
              <w:rPr>
                <w:rFonts w:ascii="Arial" w:hAnsi="Arial" w:cs="Arial"/>
                <w:sz w:val="16"/>
                <w:szCs w:val="16"/>
                <w:lang w:val="bg-BG"/>
              </w:rPr>
              <w:t>,</w:t>
            </w:r>
            <w:r w:rsidRPr="00703017">
              <w:rPr>
                <w:rFonts w:ascii="Arial" w:hAnsi="Arial" w:cs="Arial"/>
                <w:sz w:val="16"/>
                <w:szCs w:val="16"/>
                <w:lang w:val="bg-BG"/>
              </w:rPr>
              <w:t>5 × 10</w:t>
            </w:r>
            <w:r w:rsidRPr="00703017">
              <w:rPr>
                <w:rFonts w:ascii="Arial" w:hAnsi="Arial" w:cs="Arial"/>
                <w:sz w:val="16"/>
                <w:szCs w:val="16"/>
                <w:vertAlign w:val="superscript"/>
                <w:lang w:val="bg-BG"/>
              </w:rPr>
              <w:t>-5</w:t>
            </w:r>
            <w:r w:rsidRPr="00703017">
              <w:rPr>
                <w:rFonts w:ascii="Arial" w:hAnsi="Arial" w:cs="Arial"/>
                <w:sz w:val="16"/>
                <w:szCs w:val="16"/>
                <w:lang w:val="bg-BG"/>
              </w:rPr>
              <w:t>)</w:t>
            </w:r>
          </w:p>
          <w:p w:rsidR="008D6E9B" w:rsidRPr="00703017" w:rsidRDefault="008D6E9B" w:rsidP="00E72338">
            <w:pPr>
              <w:rPr>
                <w:rFonts w:ascii="Arial" w:hAnsi="Arial" w:cs="Arial"/>
                <w:sz w:val="16"/>
                <w:szCs w:val="16"/>
                <w:lang w:val="bg-BG"/>
              </w:rPr>
            </w:pPr>
            <w:r>
              <w:rPr>
                <w:rFonts w:ascii="Arial" w:hAnsi="Arial" w:cs="Arial"/>
                <w:sz w:val="16"/>
                <w:szCs w:val="16"/>
                <w:lang w:val="bg-BG"/>
              </w:rPr>
              <w:t xml:space="preserve">Голяма задача: 3 µg/m³ </w:t>
            </w:r>
            <w:r w:rsidRPr="002E283F">
              <w:rPr>
                <w:rFonts w:ascii="Arial" w:hAnsi="Arial" w:cs="Arial"/>
                <w:sz w:val="16"/>
                <w:szCs w:val="16"/>
                <w:lang w:val="bg-BG"/>
              </w:rPr>
              <w:br/>
            </w:r>
            <w:r>
              <w:rPr>
                <w:rFonts w:ascii="Arial" w:hAnsi="Arial" w:cs="Arial"/>
                <w:sz w:val="16"/>
                <w:szCs w:val="16"/>
                <w:lang w:val="bg-BG"/>
              </w:rPr>
              <w:t>(7</w:t>
            </w:r>
            <w:r w:rsidRPr="00373998">
              <w:rPr>
                <w:rFonts w:ascii="Arial" w:hAnsi="Arial" w:cs="Arial"/>
                <w:sz w:val="16"/>
                <w:szCs w:val="16"/>
                <w:lang w:val="bg-BG"/>
              </w:rPr>
              <w:t>,</w:t>
            </w:r>
            <w:r w:rsidRPr="00703017">
              <w:rPr>
                <w:rFonts w:ascii="Arial" w:hAnsi="Arial" w:cs="Arial"/>
                <w:sz w:val="16"/>
                <w:szCs w:val="16"/>
                <w:lang w:val="bg-BG"/>
              </w:rPr>
              <w:t>5 × 10</w:t>
            </w:r>
            <w:r w:rsidRPr="00703017">
              <w:rPr>
                <w:rFonts w:ascii="Arial" w:hAnsi="Arial" w:cs="Arial"/>
                <w:sz w:val="16"/>
                <w:szCs w:val="16"/>
                <w:vertAlign w:val="superscript"/>
                <w:lang w:val="bg-BG"/>
              </w:rPr>
              <w:t>-4</w:t>
            </w:r>
            <w:r w:rsidRPr="00703017">
              <w:rPr>
                <w:rFonts w:ascii="Arial" w:hAnsi="Arial" w:cs="Arial"/>
                <w:sz w:val="16"/>
                <w:szCs w:val="16"/>
                <w:lang w:val="bg-BG"/>
              </w:rPr>
              <w:t>)</w:t>
            </w:r>
          </w:p>
        </w:tc>
        <w:tc>
          <w:tcPr>
            <w:tcW w:w="5124" w:type="dxa"/>
            <w:gridSpan w:val="6"/>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Количествена оценка</w:t>
            </w:r>
          </w:p>
          <w:p w:rsidR="008D6E9B" w:rsidRPr="00703017" w:rsidRDefault="008D6E9B" w:rsidP="00E72338">
            <w:pPr>
              <w:rPr>
                <w:rFonts w:ascii="Arial" w:hAnsi="Arial" w:cs="Arial"/>
                <w:sz w:val="16"/>
                <w:szCs w:val="16"/>
                <w:lang w:val="bg-BG" w:eastAsia="de-DE"/>
              </w:rPr>
            </w:pPr>
            <w:r w:rsidRPr="00703017">
              <w:rPr>
                <w:rFonts w:ascii="Arial" w:hAnsi="Arial" w:cs="Arial"/>
                <w:sz w:val="16"/>
                <w:szCs w:val="16"/>
                <w:lang w:val="bg-BG"/>
              </w:rPr>
              <w:t xml:space="preserve">Формирането на прах при наливане на прахообразното вещество се адресира чрез използване на Холандския модел (van Hemmen, 1992, както е описан в Раздел 9.0.3.1 по-горе) и прилагане на фактор за редуциране на праха 10 за грануларната форма и фактор 4 за намаленото количество вар в </w:t>
            </w:r>
            <w:r>
              <w:rPr>
                <w:rFonts w:ascii="Arial" w:hAnsi="Arial" w:cs="Arial"/>
                <w:sz w:val="16"/>
                <w:szCs w:val="16"/>
                <w:lang w:val="bg-BG"/>
              </w:rPr>
              <w:t>„</w:t>
            </w:r>
            <w:r w:rsidRPr="00703017">
              <w:rPr>
                <w:rFonts w:ascii="Arial" w:hAnsi="Arial" w:cs="Arial"/>
                <w:sz w:val="16"/>
                <w:szCs w:val="16"/>
                <w:lang w:val="bg-BG"/>
              </w:rPr>
              <w:t>използвания</w:t>
            </w:r>
            <w:r>
              <w:rPr>
                <w:rFonts w:ascii="Arial" w:hAnsi="Arial" w:cs="Arial"/>
                <w:sz w:val="16"/>
                <w:szCs w:val="16"/>
                <w:lang w:val="bg-BG"/>
              </w:rPr>
              <w:t>“</w:t>
            </w:r>
            <w:r w:rsidRPr="00703017">
              <w:rPr>
                <w:rFonts w:ascii="Arial" w:hAnsi="Arial" w:cs="Arial"/>
                <w:sz w:val="16"/>
                <w:szCs w:val="16"/>
                <w:lang w:val="bg-BG"/>
              </w:rPr>
              <w:t xml:space="preserve"> абсорбент.</w:t>
            </w:r>
          </w:p>
        </w:tc>
      </w:tr>
      <w:tr w:rsidR="008D6E9B" w:rsidRPr="00703017">
        <w:trPr>
          <w:cantSplit/>
          <w:jc w:val="center"/>
        </w:trPr>
        <w:tc>
          <w:tcPr>
            <w:tcW w:w="9656" w:type="dxa"/>
            <w:gridSpan w:val="15"/>
            <w:shd w:val="clear" w:color="auto" w:fill="BFBFBF"/>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Експозиция за околната среда</w:t>
            </w:r>
          </w:p>
        </w:tc>
      </w:tr>
      <w:tr w:rsidR="008D6E9B" w:rsidRPr="0070774F">
        <w:trPr>
          <w:cantSplit/>
          <w:jc w:val="center"/>
        </w:trPr>
        <w:tc>
          <w:tcPr>
            <w:tcW w:w="9656" w:type="dxa"/>
            <w:gridSpan w:val="15"/>
            <w:vAlign w:val="center"/>
          </w:tcPr>
          <w:p w:rsidR="008D6E9B" w:rsidRPr="00703017" w:rsidRDefault="008D6E9B" w:rsidP="00E72338">
            <w:pPr>
              <w:rPr>
                <w:rFonts w:ascii="Arial" w:hAnsi="Arial" w:cs="Arial"/>
                <w:b/>
                <w:bCs/>
                <w:sz w:val="16"/>
                <w:szCs w:val="16"/>
                <w:lang w:val="bg-BG"/>
              </w:rPr>
            </w:pPr>
            <w:r w:rsidRPr="00703017">
              <w:rPr>
                <w:rFonts w:ascii="Arial" w:hAnsi="Arial" w:cs="Arial"/>
                <w:sz w:val="16"/>
                <w:szCs w:val="16"/>
                <w:lang w:val="bg-BG"/>
              </w:rPr>
              <w:t>Влиянието на pH при използване на вар в дихателните апарати се очаква да е незначително. Входните води на общинските ПСОВ често се неутрализират тъй или иначе, а варта може дори да се използва по един полезен начин за контрол на pH на киселинните потоци отпадни води, които се обработват в биологичните ПСОВ. Тъй като pH на входните води на общинските ПСОВ е почти неутрално, pH влиянието върху приемната околна среда е незначително, както в повърхностните води, така и в седимента и сухоземната част.</w:t>
            </w:r>
          </w:p>
        </w:tc>
      </w:tr>
    </w:tbl>
    <w:p w:rsidR="008D6E9B" w:rsidRPr="00703017" w:rsidRDefault="008D6E9B" w:rsidP="000241F3">
      <w:pPr>
        <w:keepNext/>
        <w:pageBreakBefore/>
        <w:tabs>
          <w:tab w:val="left" w:pos="1418"/>
        </w:tabs>
        <w:spacing w:before="240" w:after="60"/>
        <w:outlineLvl w:val="1"/>
        <w:rPr>
          <w:rFonts w:ascii="Arial" w:hAnsi="Arial" w:cs="Arial"/>
          <w:b/>
          <w:bCs/>
          <w:sz w:val="28"/>
          <w:szCs w:val="28"/>
          <w:lang w:val="bg-BG"/>
        </w:rPr>
      </w:pPr>
      <w:bookmarkStart w:id="28" w:name="_Toc270425145"/>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14: Консумативна употреба на градинска вар/торове</w:t>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210"/>
        <w:gridCol w:w="446"/>
        <w:gridCol w:w="259"/>
        <w:gridCol w:w="495"/>
        <w:gridCol w:w="556"/>
        <w:gridCol w:w="9"/>
        <w:gridCol w:w="25"/>
        <w:gridCol w:w="65"/>
        <w:gridCol w:w="564"/>
        <w:gridCol w:w="442"/>
        <w:gridCol w:w="607"/>
        <w:gridCol w:w="248"/>
        <w:gridCol w:w="468"/>
        <w:gridCol w:w="275"/>
        <w:gridCol w:w="555"/>
        <w:gridCol w:w="359"/>
        <w:gridCol w:w="1901"/>
      </w:tblGrid>
      <w:tr w:rsidR="008D6E9B" w:rsidRPr="0070774F">
        <w:trPr>
          <w:cantSplit/>
          <w:jc w:val="center"/>
        </w:trPr>
        <w:tc>
          <w:tcPr>
            <w:tcW w:w="5000" w:type="pct"/>
            <w:gridSpan w:val="18"/>
            <w:shd w:val="clear" w:color="auto" w:fill="00FFFF"/>
            <w:vAlign w:val="center"/>
          </w:tcPr>
          <w:p w:rsidR="008D6E9B" w:rsidRPr="00703017" w:rsidRDefault="008D6E9B" w:rsidP="00E72338">
            <w:pPr>
              <w:spacing w:line="240" w:lineRule="auto"/>
              <w:rPr>
                <w:rFonts w:ascii="Arial" w:hAnsi="Arial" w:cs="Arial"/>
                <w:b/>
                <w:bCs/>
                <w:i/>
                <w:iCs/>
                <w:color w:val="0000FF"/>
                <w:sz w:val="20"/>
                <w:szCs w:val="20"/>
                <w:lang w:val="bg-BG"/>
              </w:rPr>
            </w:pPr>
            <w:r w:rsidRPr="00703017">
              <w:rPr>
                <w:rFonts w:ascii="Arial" w:hAnsi="Arial" w:cs="Arial"/>
                <w:b/>
                <w:bCs/>
                <w:sz w:val="16"/>
                <w:szCs w:val="16"/>
                <w:lang w:val="bg-BG"/>
              </w:rPr>
              <w:br w:type="page"/>
            </w:r>
            <w:r w:rsidRPr="00703017">
              <w:rPr>
                <w:rFonts w:ascii="Arial" w:hAnsi="Arial" w:cs="Arial"/>
                <w:b/>
                <w:bCs/>
                <w:i/>
                <w:iCs/>
                <w:color w:val="0000FF"/>
                <w:sz w:val="20"/>
                <w:szCs w:val="20"/>
                <w:lang w:val="bg-BG"/>
              </w:rPr>
              <w:t>Формат на сценарий на експозиция (2), посветен на начините на употреба от потребители</w:t>
            </w:r>
          </w:p>
        </w:tc>
      </w:tr>
      <w:tr w:rsidR="008D6E9B" w:rsidRPr="00703017">
        <w:trPr>
          <w:cantSplit/>
          <w:jc w:val="center"/>
        </w:trPr>
        <w:tc>
          <w:tcPr>
            <w:tcW w:w="5000" w:type="pct"/>
            <w:gridSpan w:val="18"/>
            <w:shd w:val="clear" w:color="auto" w:fill="00FFFF"/>
            <w:vAlign w:val="center"/>
          </w:tcPr>
          <w:p w:rsidR="008D6E9B" w:rsidRPr="00703017" w:rsidRDefault="008D6E9B"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lang w:val="bg-BG"/>
              </w:rPr>
              <w:t>1. Заглавие</w:t>
            </w:r>
          </w:p>
        </w:tc>
      </w:tr>
      <w:tr w:rsidR="008D6E9B" w:rsidRPr="0070774F">
        <w:trPr>
          <w:cantSplit/>
          <w:jc w:val="center"/>
        </w:trPr>
        <w:tc>
          <w:tcPr>
            <w:tcW w:w="1960" w:type="pct"/>
            <w:gridSpan w:val="7"/>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Кратко свободно заглавие</w:t>
            </w:r>
          </w:p>
        </w:tc>
        <w:tc>
          <w:tcPr>
            <w:tcW w:w="3040" w:type="pct"/>
            <w:gridSpan w:val="11"/>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Консумативна употреба на градинска вар/торове </w:t>
            </w:r>
          </w:p>
        </w:tc>
      </w:tr>
      <w:tr w:rsidR="008D6E9B" w:rsidRPr="00703017">
        <w:trPr>
          <w:cantSplit/>
          <w:jc w:val="center"/>
        </w:trPr>
        <w:tc>
          <w:tcPr>
            <w:tcW w:w="1960" w:type="pct"/>
            <w:gridSpan w:val="7"/>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Систематично заглавие на основата на дескриптора на употребите</w:t>
            </w:r>
          </w:p>
        </w:tc>
        <w:tc>
          <w:tcPr>
            <w:tcW w:w="3040" w:type="pct"/>
            <w:gridSpan w:val="11"/>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SU21, PC20, PC12, ERC8e </w:t>
            </w:r>
          </w:p>
        </w:tc>
      </w:tr>
      <w:tr w:rsidR="008D6E9B" w:rsidRPr="00703017">
        <w:trPr>
          <w:cantSplit/>
          <w:jc w:val="center"/>
        </w:trPr>
        <w:tc>
          <w:tcPr>
            <w:tcW w:w="1960" w:type="pct"/>
            <w:gridSpan w:val="7"/>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 xml:space="preserve">Покриване процеси, задачи, дейности </w:t>
            </w:r>
          </w:p>
        </w:tc>
        <w:tc>
          <w:tcPr>
            <w:tcW w:w="3040" w:type="pct"/>
            <w:gridSpan w:val="11"/>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Ръчна употреба на градинска вар, тор</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Постапликационна експозиция</w:t>
            </w:r>
          </w:p>
        </w:tc>
      </w:tr>
      <w:tr w:rsidR="008D6E9B" w:rsidRPr="0070774F">
        <w:trPr>
          <w:cantSplit/>
          <w:jc w:val="center"/>
        </w:trPr>
        <w:tc>
          <w:tcPr>
            <w:tcW w:w="1960" w:type="pct"/>
            <w:gridSpan w:val="7"/>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Метод на оценка*</w:t>
            </w:r>
          </w:p>
        </w:tc>
        <w:tc>
          <w:tcPr>
            <w:tcW w:w="3040" w:type="pct"/>
            <w:gridSpan w:val="11"/>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Човешкото здраве</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Извършена е качествена оценка при орална и дермална експозиция, както и на експозиция на очите. Експозицията на вдишване беше оценена по Холандския модел (van Hemmen, 1992).</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Околна среда</w:t>
            </w:r>
          </w:p>
          <w:p w:rsidR="008D6E9B" w:rsidRPr="00703017" w:rsidRDefault="008D6E9B" w:rsidP="00E72338">
            <w:pPr>
              <w:spacing w:line="240" w:lineRule="auto"/>
              <w:rPr>
                <w:rFonts w:ascii="Arial" w:hAnsi="Arial" w:cs="Arial"/>
                <w:i/>
                <w:iCs/>
                <w:sz w:val="16"/>
                <w:szCs w:val="16"/>
                <w:lang w:val="bg-BG"/>
              </w:rPr>
            </w:pPr>
            <w:r w:rsidRPr="00703017">
              <w:rPr>
                <w:rFonts w:ascii="Arial" w:hAnsi="Arial" w:cs="Arial"/>
                <w:sz w:val="16"/>
                <w:szCs w:val="16"/>
                <w:lang w:val="bg-BG"/>
              </w:rPr>
              <w:t>Предлага се оценка с качествена обосновка.</w:t>
            </w:r>
          </w:p>
        </w:tc>
      </w:tr>
      <w:tr w:rsidR="008D6E9B" w:rsidRPr="0070774F">
        <w:trPr>
          <w:cantSplit/>
          <w:jc w:val="center"/>
        </w:trPr>
        <w:tc>
          <w:tcPr>
            <w:tcW w:w="5000" w:type="pct"/>
            <w:gridSpan w:val="18"/>
            <w:shd w:val="clear" w:color="auto" w:fill="00FFFF"/>
            <w:vAlign w:val="center"/>
          </w:tcPr>
          <w:p w:rsidR="008D6E9B" w:rsidRPr="00703017" w:rsidRDefault="008D6E9B"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lang w:val="bg-BG"/>
              </w:rPr>
              <w:t>2. Работни условия и мерки за управление на риска</w:t>
            </w:r>
          </w:p>
        </w:tc>
      </w:tr>
      <w:tr w:rsidR="008D6E9B" w:rsidRPr="0070774F">
        <w:trPr>
          <w:cantSplit/>
          <w:jc w:val="center"/>
        </w:trPr>
        <w:tc>
          <w:tcPr>
            <w:tcW w:w="1232" w:type="pct"/>
            <w:gridSpan w:val="3"/>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RMM</w:t>
            </w:r>
          </w:p>
        </w:tc>
        <w:tc>
          <w:tcPr>
            <w:tcW w:w="3768" w:type="pct"/>
            <w:gridSpan w:val="15"/>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sz w:val="16"/>
                <w:szCs w:val="16"/>
                <w:lang w:val="bg-BG"/>
              </w:rPr>
              <w:t>Не се прилагат свързани с продукта мерки за управление на риска.</w:t>
            </w:r>
          </w:p>
        </w:tc>
      </w:tr>
      <w:tr w:rsidR="008D6E9B" w:rsidRPr="0070774F">
        <w:trPr>
          <w:cantSplit/>
          <w:jc w:val="center"/>
        </w:trPr>
        <w:tc>
          <w:tcPr>
            <w:tcW w:w="1232" w:type="pct"/>
            <w:gridSpan w:val="3"/>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PC/ERC</w:t>
            </w:r>
          </w:p>
        </w:tc>
        <w:tc>
          <w:tcPr>
            <w:tcW w:w="3768" w:type="pct"/>
            <w:gridSpan w:val="15"/>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Описание на дейност, свързана с категориите на изделието (AC) и категориите за отделяне в околната среда (ERC)</w:t>
            </w:r>
          </w:p>
        </w:tc>
      </w:tr>
      <w:tr w:rsidR="008D6E9B" w:rsidRPr="0070774F">
        <w:trPr>
          <w:cantSplit/>
          <w:jc w:val="center"/>
        </w:trPr>
        <w:tc>
          <w:tcPr>
            <w:tcW w:w="1232" w:type="pct"/>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PC 20</w:t>
            </w:r>
          </w:p>
        </w:tc>
        <w:tc>
          <w:tcPr>
            <w:tcW w:w="3768" w:type="pct"/>
            <w:gridSpan w:val="1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Повърхностно разпръсване на градинска вар с лопата/ръка (най-лошият случай) и поемане от почвата.</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Следапликационна експозиция на играещи деца.</w:t>
            </w:r>
          </w:p>
        </w:tc>
      </w:tr>
      <w:tr w:rsidR="008D6E9B" w:rsidRPr="0070774F">
        <w:trPr>
          <w:cantSplit/>
          <w:jc w:val="center"/>
        </w:trPr>
        <w:tc>
          <w:tcPr>
            <w:tcW w:w="1232" w:type="pct"/>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PC 12</w:t>
            </w:r>
          </w:p>
        </w:tc>
        <w:tc>
          <w:tcPr>
            <w:tcW w:w="3768" w:type="pct"/>
            <w:gridSpan w:val="1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Повърхностно разпръсване на градинска вар с лопата/ръка (най-лошият случай) и поемане от почвата.</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Следапликационна експозиция на играещи деца.</w:t>
            </w:r>
          </w:p>
        </w:tc>
      </w:tr>
      <w:tr w:rsidR="008D6E9B" w:rsidRPr="0070774F">
        <w:trPr>
          <w:cantSplit/>
          <w:jc w:val="center"/>
        </w:trPr>
        <w:tc>
          <w:tcPr>
            <w:tcW w:w="1232" w:type="pct"/>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ERC 8e</w:t>
            </w:r>
          </w:p>
        </w:tc>
        <w:tc>
          <w:tcPr>
            <w:tcW w:w="3768" w:type="pct"/>
            <w:gridSpan w:val="1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Широко разпространена употреба на открито на химически активни вещества в отворени системи</w:t>
            </w:r>
          </w:p>
        </w:tc>
      </w:tr>
      <w:tr w:rsidR="008D6E9B" w:rsidRPr="0070774F">
        <w:trPr>
          <w:cantSplit/>
          <w:jc w:val="center"/>
        </w:trPr>
        <w:tc>
          <w:tcPr>
            <w:tcW w:w="5000" w:type="pct"/>
            <w:gridSpan w:val="18"/>
            <w:shd w:val="clear" w:color="auto" w:fill="00FFFF"/>
            <w:vAlign w:val="center"/>
          </w:tcPr>
          <w:p w:rsidR="008D6E9B" w:rsidRPr="00703017" w:rsidRDefault="008D6E9B"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highlight w:val="cyan"/>
                <w:lang w:val="bg-BG"/>
              </w:rPr>
              <w:t>2.1 Контрол на експозицията на потребителите</w:t>
            </w:r>
          </w:p>
        </w:tc>
      </w:tr>
      <w:tr w:rsidR="008D6E9B" w:rsidRPr="00703017">
        <w:trPr>
          <w:cantSplit/>
          <w:jc w:val="center"/>
        </w:trPr>
        <w:tc>
          <w:tcPr>
            <w:tcW w:w="5000" w:type="pct"/>
            <w:gridSpan w:val="18"/>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Характеристика на продукта</w:t>
            </w:r>
          </w:p>
        </w:tc>
      </w:tr>
      <w:tr w:rsidR="008D6E9B" w:rsidRPr="00703017">
        <w:trPr>
          <w:cantSplit/>
          <w:jc w:val="center"/>
        </w:trPr>
        <w:tc>
          <w:tcPr>
            <w:tcW w:w="986" w:type="pct"/>
            <w:gridSpan w:val="2"/>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Описание на препарата</w:t>
            </w:r>
          </w:p>
        </w:tc>
        <w:tc>
          <w:tcPr>
            <w:tcW w:w="988" w:type="pct"/>
            <w:gridSpan w:val="6"/>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Концентрация на веществото в препарата</w:t>
            </w:r>
          </w:p>
        </w:tc>
        <w:tc>
          <w:tcPr>
            <w:tcW w:w="926" w:type="pct"/>
            <w:gridSpan w:val="4"/>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Физическо състояние на препарата</w:t>
            </w:r>
          </w:p>
        </w:tc>
        <w:tc>
          <w:tcPr>
            <w:tcW w:w="1051" w:type="pct"/>
            <w:gridSpan w:val="5"/>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Запрашеност (ако е приложимо)</w:t>
            </w:r>
          </w:p>
        </w:tc>
        <w:tc>
          <w:tcPr>
            <w:tcW w:w="1049" w:type="pct"/>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Дизайн на опаковката</w:t>
            </w:r>
          </w:p>
        </w:tc>
      </w:tr>
      <w:tr w:rsidR="008D6E9B" w:rsidRPr="0070774F">
        <w:trPr>
          <w:cantSplit/>
          <w:jc w:val="center"/>
        </w:trPr>
        <w:tc>
          <w:tcPr>
            <w:tcW w:w="986" w:type="pct"/>
            <w:gridSpan w:val="2"/>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Градинска вар </w:t>
            </w:r>
          </w:p>
        </w:tc>
        <w:tc>
          <w:tcPr>
            <w:tcW w:w="988" w:type="pct"/>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100 %</w:t>
            </w:r>
          </w:p>
        </w:tc>
        <w:tc>
          <w:tcPr>
            <w:tcW w:w="926" w:type="pct"/>
            <w:gridSpan w:val="4"/>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Твърдо/на прах</w:t>
            </w:r>
          </w:p>
        </w:tc>
        <w:tc>
          <w:tcPr>
            <w:tcW w:w="1051" w:type="pct"/>
            <w:gridSpan w:val="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Силно запрашена</w:t>
            </w:r>
          </w:p>
        </w:tc>
        <w:tc>
          <w:tcPr>
            <w:tcW w:w="1049" w:type="pct"/>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Насипна в торби и контейнери от 5, 10 и 25 kg</w:t>
            </w:r>
          </w:p>
        </w:tc>
      </w:tr>
      <w:tr w:rsidR="008D6E9B" w:rsidRPr="0070774F">
        <w:trPr>
          <w:cantSplit/>
          <w:jc w:val="center"/>
        </w:trPr>
        <w:tc>
          <w:tcPr>
            <w:tcW w:w="986" w:type="pct"/>
            <w:gridSpan w:val="2"/>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Тор</w:t>
            </w:r>
          </w:p>
        </w:tc>
        <w:tc>
          <w:tcPr>
            <w:tcW w:w="988" w:type="pct"/>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До 20%</w:t>
            </w:r>
          </w:p>
        </w:tc>
        <w:tc>
          <w:tcPr>
            <w:tcW w:w="926" w:type="pct"/>
            <w:gridSpan w:val="4"/>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Твърд, гранулиран</w:t>
            </w:r>
          </w:p>
        </w:tc>
        <w:tc>
          <w:tcPr>
            <w:tcW w:w="1051" w:type="pct"/>
            <w:gridSpan w:val="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Слабо запрашена</w:t>
            </w:r>
          </w:p>
        </w:tc>
        <w:tc>
          <w:tcPr>
            <w:tcW w:w="1049" w:type="pct"/>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Насипна в торби и контейнери от 5, 10 и 25 kg</w:t>
            </w:r>
          </w:p>
        </w:tc>
      </w:tr>
      <w:tr w:rsidR="008D6E9B" w:rsidRPr="00703017">
        <w:trPr>
          <w:cantSplit/>
          <w:jc w:val="center"/>
        </w:trPr>
        <w:tc>
          <w:tcPr>
            <w:tcW w:w="5000" w:type="pct"/>
            <w:gridSpan w:val="18"/>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Използвани количества</w:t>
            </w:r>
          </w:p>
        </w:tc>
      </w:tr>
      <w:tr w:rsidR="008D6E9B" w:rsidRPr="00703017">
        <w:trPr>
          <w:cantSplit/>
          <w:jc w:val="center"/>
        </w:trPr>
        <w:tc>
          <w:tcPr>
            <w:tcW w:w="1955" w:type="pct"/>
            <w:gridSpan w:val="6"/>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Описание на препарата</w:t>
            </w:r>
          </w:p>
        </w:tc>
        <w:tc>
          <w:tcPr>
            <w:tcW w:w="1492" w:type="pct"/>
            <w:gridSpan w:val="9"/>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Количество за еднократна употреба</w:t>
            </w:r>
          </w:p>
        </w:tc>
        <w:tc>
          <w:tcPr>
            <w:tcW w:w="1553" w:type="pct"/>
            <w:gridSpan w:val="3"/>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Източник на информация</w:t>
            </w:r>
          </w:p>
        </w:tc>
      </w:tr>
      <w:tr w:rsidR="008D6E9B" w:rsidRPr="0070774F">
        <w:trPr>
          <w:cantSplit/>
          <w:jc w:val="center"/>
        </w:trPr>
        <w:tc>
          <w:tcPr>
            <w:tcW w:w="1955" w:type="pct"/>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Градинска вар</w:t>
            </w:r>
          </w:p>
        </w:tc>
        <w:tc>
          <w:tcPr>
            <w:tcW w:w="1492" w:type="pct"/>
            <w:gridSpan w:val="9"/>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100g /m</w:t>
            </w:r>
            <w:r w:rsidRPr="00703017">
              <w:rPr>
                <w:rFonts w:ascii="Arial" w:hAnsi="Arial" w:cs="Arial"/>
                <w:sz w:val="16"/>
                <w:szCs w:val="16"/>
                <w:vertAlign w:val="superscript"/>
                <w:lang w:val="bg-BG"/>
              </w:rPr>
              <w:t>2</w:t>
            </w:r>
            <w:r w:rsidRPr="00703017">
              <w:rPr>
                <w:rFonts w:ascii="Arial" w:hAnsi="Arial" w:cs="Arial"/>
                <w:sz w:val="16"/>
                <w:szCs w:val="16"/>
                <w:lang w:val="bg-BG"/>
              </w:rPr>
              <w:t xml:space="preserve"> (до 200g/m²)</w:t>
            </w:r>
          </w:p>
        </w:tc>
        <w:tc>
          <w:tcPr>
            <w:tcW w:w="1553" w:type="pct"/>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Информация и посока на употребата</w:t>
            </w:r>
          </w:p>
        </w:tc>
      </w:tr>
      <w:tr w:rsidR="008D6E9B" w:rsidRPr="0070774F">
        <w:trPr>
          <w:cantSplit/>
          <w:jc w:val="center"/>
        </w:trPr>
        <w:tc>
          <w:tcPr>
            <w:tcW w:w="1955" w:type="pct"/>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Тор</w:t>
            </w:r>
          </w:p>
        </w:tc>
        <w:tc>
          <w:tcPr>
            <w:tcW w:w="1492" w:type="pct"/>
            <w:gridSpan w:val="9"/>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100g /m</w:t>
            </w:r>
            <w:r w:rsidRPr="00703017">
              <w:rPr>
                <w:rFonts w:ascii="Arial" w:hAnsi="Arial" w:cs="Arial"/>
                <w:sz w:val="16"/>
                <w:szCs w:val="16"/>
                <w:vertAlign w:val="superscript"/>
                <w:lang w:val="bg-BG"/>
              </w:rPr>
              <w:t>2</w:t>
            </w:r>
            <w:r w:rsidRPr="00703017">
              <w:rPr>
                <w:rFonts w:ascii="Arial" w:hAnsi="Arial" w:cs="Arial"/>
                <w:sz w:val="16"/>
                <w:szCs w:val="16"/>
                <w:lang w:val="bg-BG"/>
              </w:rPr>
              <w:t xml:space="preserve"> (до 1kg/m² (компост))</w:t>
            </w:r>
          </w:p>
        </w:tc>
        <w:tc>
          <w:tcPr>
            <w:tcW w:w="1553" w:type="pct"/>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Информация и посока на употребата</w:t>
            </w:r>
          </w:p>
        </w:tc>
      </w:tr>
      <w:tr w:rsidR="008D6E9B" w:rsidRPr="0070774F">
        <w:trPr>
          <w:cantSplit/>
          <w:jc w:val="center"/>
        </w:trPr>
        <w:tc>
          <w:tcPr>
            <w:tcW w:w="5000" w:type="pct"/>
            <w:gridSpan w:val="18"/>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Честота и продължителност на употребата/експозицията</w:t>
            </w:r>
          </w:p>
        </w:tc>
      </w:tr>
      <w:tr w:rsidR="008D6E9B" w:rsidRPr="00703017">
        <w:trPr>
          <w:cantSplit/>
          <w:jc w:val="center"/>
        </w:trPr>
        <w:tc>
          <w:tcPr>
            <w:tcW w:w="1648" w:type="pct"/>
            <w:gridSpan w:val="5"/>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Описание на задачата</w:t>
            </w:r>
          </w:p>
        </w:tc>
        <w:tc>
          <w:tcPr>
            <w:tcW w:w="1647" w:type="pct"/>
            <w:gridSpan w:val="9"/>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Продължителност на експозицията на събитие</w:t>
            </w:r>
          </w:p>
        </w:tc>
        <w:tc>
          <w:tcPr>
            <w:tcW w:w="1705" w:type="pct"/>
            <w:gridSpan w:val="4"/>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честота на събитията</w:t>
            </w:r>
          </w:p>
        </w:tc>
      </w:tr>
      <w:tr w:rsidR="008D6E9B" w:rsidRPr="00703017">
        <w:trPr>
          <w:cantSplit/>
          <w:jc w:val="center"/>
        </w:trPr>
        <w:tc>
          <w:tcPr>
            <w:tcW w:w="1648" w:type="pct"/>
            <w:gridSpan w:val="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Ръчно приложение </w:t>
            </w:r>
          </w:p>
        </w:tc>
        <w:tc>
          <w:tcPr>
            <w:tcW w:w="1647" w:type="pct"/>
            <w:gridSpan w:val="9"/>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Минути-часове</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Според размера на третираната площ</w:t>
            </w:r>
          </w:p>
        </w:tc>
        <w:tc>
          <w:tcPr>
            <w:tcW w:w="1705" w:type="pct"/>
            <w:gridSpan w:val="4"/>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1 задача в годината</w:t>
            </w:r>
          </w:p>
        </w:tc>
      </w:tr>
      <w:tr w:rsidR="008D6E9B" w:rsidRPr="0070774F">
        <w:trPr>
          <w:cantSplit/>
          <w:jc w:val="center"/>
        </w:trPr>
        <w:tc>
          <w:tcPr>
            <w:tcW w:w="1648" w:type="pct"/>
            <w:gridSpan w:val="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След прилагането </w:t>
            </w:r>
          </w:p>
        </w:tc>
        <w:tc>
          <w:tcPr>
            <w:tcW w:w="1647" w:type="pct"/>
            <w:gridSpan w:val="9"/>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2 часа (непроходили бебета, играещи в тревата (Наръчник на EPA за факторите на експозицията)</w:t>
            </w:r>
          </w:p>
        </w:tc>
        <w:tc>
          <w:tcPr>
            <w:tcW w:w="1705" w:type="pct"/>
            <w:gridSpan w:val="4"/>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Релевантно до 7 дни слез прилагане </w:t>
            </w:r>
          </w:p>
        </w:tc>
      </w:tr>
      <w:tr w:rsidR="008D6E9B" w:rsidRPr="0070774F">
        <w:trPr>
          <w:cantSplit/>
          <w:jc w:val="center"/>
        </w:trPr>
        <w:tc>
          <w:tcPr>
            <w:tcW w:w="5000" w:type="pct"/>
            <w:gridSpan w:val="18"/>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 xml:space="preserve">Човешки фактори, които не се влияят от управлението на риска  </w:t>
            </w:r>
          </w:p>
        </w:tc>
      </w:tr>
      <w:tr w:rsidR="008D6E9B" w:rsidRPr="0070774F">
        <w:trPr>
          <w:cantSplit/>
          <w:jc w:val="center"/>
        </w:trPr>
        <w:tc>
          <w:tcPr>
            <w:tcW w:w="986" w:type="pct"/>
            <w:gridSpan w:val="2"/>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Описание на задачата</w:t>
            </w:r>
          </w:p>
        </w:tc>
        <w:tc>
          <w:tcPr>
            <w:tcW w:w="988" w:type="pct"/>
            <w:gridSpan w:val="6"/>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Брой изложени</w:t>
            </w:r>
          </w:p>
        </w:tc>
        <w:tc>
          <w:tcPr>
            <w:tcW w:w="926" w:type="pct"/>
            <w:gridSpan w:val="4"/>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Скорост на дишане</w:t>
            </w:r>
          </w:p>
        </w:tc>
        <w:tc>
          <w:tcPr>
            <w:tcW w:w="1051" w:type="pct"/>
            <w:gridSpan w:val="5"/>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Изложена част на тялото</w:t>
            </w:r>
          </w:p>
        </w:tc>
        <w:tc>
          <w:tcPr>
            <w:tcW w:w="1049" w:type="pct"/>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Съответстваща площ от кожата [cm²]</w:t>
            </w:r>
          </w:p>
        </w:tc>
      </w:tr>
      <w:tr w:rsidR="008D6E9B" w:rsidRPr="0070774F">
        <w:trPr>
          <w:cantSplit/>
          <w:jc w:val="center"/>
        </w:trPr>
        <w:tc>
          <w:tcPr>
            <w:tcW w:w="986" w:type="pct"/>
            <w:gridSpan w:val="2"/>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Ръчно приложение </w:t>
            </w:r>
          </w:p>
        </w:tc>
        <w:tc>
          <w:tcPr>
            <w:tcW w:w="988" w:type="pct"/>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Възрастен</w:t>
            </w:r>
          </w:p>
        </w:tc>
        <w:tc>
          <w:tcPr>
            <w:tcW w:w="926" w:type="pct"/>
            <w:gridSpan w:val="4"/>
            <w:vAlign w:val="center"/>
          </w:tcPr>
          <w:p w:rsidR="008D6E9B" w:rsidRPr="005C2B76" w:rsidRDefault="008D6E9B" w:rsidP="005C2B76">
            <w:pPr>
              <w:spacing w:line="240" w:lineRule="auto"/>
              <w:rPr>
                <w:rFonts w:ascii="Arial" w:hAnsi="Arial" w:cs="Arial"/>
                <w:sz w:val="16"/>
                <w:szCs w:val="16"/>
                <w:lang w:val="de-DE"/>
              </w:rPr>
            </w:pPr>
            <w:r>
              <w:rPr>
                <w:rFonts w:ascii="Arial" w:hAnsi="Arial" w:cs="Arial"/>
                <w:sz w:val="16"/>
                <w:szCs w:val="16"/>
                <w:lang w:val="bg-BG"/>
              </w:rPr>
              <w:t>1</w:t>
            </w:r>
            <w:r>
              <w:rPr>
                <w:rFonts w:ascii="Arial" w:hAnsi="Arial" w:cs="Arial"/>
                <w:sz w:val="16"/>
                <w:szCs w:val="16"/>
                <w:lang w:val="de-DE"/>
              </w:rPr>
              <w:t>,</w:t>
            </w:r>
            <w:r w:rsidRPr="00703017">
              <w:rPr>
                <w:rFonts w:ascii="Arial" w:hAnsi="Arial" w:cs="Arial"/>
                <w:sz w:val="16"/>
                <w:szCs w:val="16"/>
                <w:lang w:val="bg-BG"/>
              </w:rPr>
              <w:t>25 m³/</w:t>
            </w:r>
            <w:r>
              <w:rPr>
                <w:rFonts w:ascii="Arial" w:hAnsi="Arial" w:cs="Arial"/>
                <w:sz w:val="16"/>
                <w:szCs w:val="16"/>
                <w:lang w:val="de-DE"/>
              </w:rPr>
              <w:t>hr</w:t>
            </w:r>
          </w:p>
        </w:tc>
        <w:tc>
          <w:tcPr>
            <w:tcW w:w="1051" w:type="pct"/>
            <w:gridSpan w:val="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Длани и ръце</w:t>
            </w:r>
          </w:p>
        </w:tc>
        <w:tc>
          <w:tcPr>
            <w:tcW w:w="1049" w:type="pct"/>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1900 (Описание на </w:t>
            </w:r>
            <w:r>
              <w:rPr>
                <w:rFonts w:ascii="Arial" w:hAnsi="Arial" w:cs="Arial"/>
                <w:sz w:val="16"/>
                <w:szCs w:val="16"/>
                <w:lang w:val="bg-BG"/>
              </w:rPr>
              <w:t>„</w:t>
            </w:r>
            <w:r w:rsidRPr="00703017">
              <w:rPr>
                <w:rFonts w:ascii="Arial" w:hAnsi="Arial" w:cs="Arial"/>
                <w:sz w:val="16"/>
                <w:szCs w:val="16"/>
                <w:lang w:val="bg-BG"/>
              </w:rPr>
              <w:t>Направи си сам</w:t>
            </w:r>
            <w:r>
              <w:rPr>
                <w:rFonts w:ascii="Arial" w:hAnsi="Arial" w:cs="Arial"/>
                <w:sz w:val="16"/>
                <w:szCs w:val="16"/>
                <w:lang w:val="bg-BG"/>
              </w:rPr>
              <w:t>“</w:t>
            </w:r>
            <w:r w:rsidRPr="00703017">
              <w:rPr>
                <w:rFonts w:ascii="Arial" w:hAnsi="Arial" w:cs="Arial"/>
                <w:sz w:val="16"/>
                <w:szCs w:val="16"/>
                <w:lang w:val="bg-BG"/>
              </w:rPr>
              <w:t>)</w:t>
            </w:r>
          </w:p>
        </w:tc>
      </w:tr>
      <w:tr w:rsidR="008D6E9B" w:rsidRPr="00703017">
        <w:trPr>
          <w:cantSplit/>
          <w:jc w:val="center"/>
        </w:trPr>
        <w:tc>
          <w:tcPr>
            <w:tcW w:w="986" w:type="pct"/>
            <w:gridSpan w:val="2"/>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След прилагането </w:t>
            </w:r>
          </w:p>
        </w:tc>
        <w:tc>
          <w:tcPr>
            <w:tcW w:w="988" w:type="pct"/>
            <w:gridSpan w:val="6"/>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Деца/Непроходили</w:t>
            </w:r>
          </w:p>
        </w:tc>
        <w:tc>
          <w:tcPr>
            <w:tcW w:w="926" w:type="pct"/>
            <w:gridSpan w:val="4"/>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NR</w:t>
            </w:r>
          </w:p>
        </w:tc>
        <w:tc>
          <w:tcPr>
            <w:tcW w:w="1051" w:type="pct"/>
            <w:gridSpan w:val="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NR</w:t>
            </w:r>
          </w:p>
        </w:tc>
        <w:tc>
          <w:tcPr>
            <w:tcW w:w="1049" w:type="pct"/>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NR</w:t>
            </w:r>
          </w:p>
        </w:tc>
      </w:tr>
      <w:tr w:rsidR="008D6E9B" w:rsidRPr="00703017">
        <w:trPr>
          <w:cantSplit/>
          <w:jc w:val="center"/>
        </w:trPr>
        <w:tc>
          <w:tcPr>
            <w:tcW w:w="5000" w:type="pct"/>
            <w:gridSpan w:val="18"/>
            <w:shd w:val="clear" w:color="auto" w:fill="C0C0C0"/>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потребителите</w:t>
            </w:r>
          </w:p>
        </w:tc>
      </w:tr>
      <w:tr w:rsidR="008D6E9B" w:rsidRPr="0070774F">
        <w:trPr>
          <w:cantSplit/>
          <w:jc w:val="center"/>
        </w:trPr>
        <w:tc>
          <w:tcPr>
            <w:tcW w:w="1375" w:type="pct"/>
            <w:gridSpan w:val="4"/>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 xml:space="preserve">Описание на задачата </w:t>
            </w:r>
          </w:p>
        </w:tc>
        <w:tc>
          <w:tcPr>
            <w:tcW w:w="1190" w:type="pct"/>
            <w:gridSpan w:val="7"/>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Вътре/вън</w:t>
            </w:r>
          </w:p>
        </w:tc>
        <w:tc>
          <w:tcPr>
            <w:tcW w:w="1188" w:type="pct"/>
            <w:gridSpan w:val="5"/>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Обем на стаята</w:t>
            </w:r>
          </w:p>
        </w:tc>
        <w:tc>
          <w:tcPr>
            <w:tcW w:w="1247" w:type="pct"/>
            <w:gridSpan w:val="2"/>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Скорост на обмяна на въздуха</w:t>
            </w:r>
          </w:p>
        </w:tc>
      </w:tr>
      <w:tr w:rsidR="008D6E9B" w:rsidRPr="00703017">
        <w:trPr>
          <w:cantSplit/>
          <w:jc w:val="center"/>
        </w:trPr>
        <w:tc>
          <w:tcPr>
            <w:tcW w:w="1375" w:type="pct"/>
            <w:gridSpan w:val="4"/>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lastRenderedPageBreak/>
              <w:t xml:space="preserve">Ръчно приложение </w:t>
            </w:r>
          </w:p>
        </w:tc>
        <w:tc>
          <w:tcPr>
            <w:tcW w:w="1190" w:type="pct"/>
            <w:gridSpan w:val="7"/>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навън</w:t>
            </w:r>
          </w:p>
        </w:tc>
        <w:tc>
          <w:tcPr>
            <w:tcW w:w="1188" w:type="pct"/>
            <w:gridSpan w:val="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1 m³ (лично място, малко площ около потребителя)</w:t>
            </w:r>
          </w:p>
        </w:tc>
        <w:tc>
          <w:tcPr>
            <w:tcW w:w="1247" w:type="pct"/>
            <w:gridSpan w:val="2"/>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NR</w:t>
            </w:r>
          </w:p>
        </w:tc>
      </w:tr>
      <w:tr w:rsidR="008D6E9B" w:rsidRPr="00703017">
        <w:trPr>
          <w:cantSplit/>
          <w:jc w:val="center"/>
        </w:trPr>
        <w:tc>
          <w:tcPr>
            <w:tcW w:w="1375" w:type="pct"/>
            <w:gridSpan w:val="4"/>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След прилагането </w:t>
            </w:r>
          </w:p>
        </w:tc>
        <w:tc>
          <w:tcPr>
            <w:tcW w:w="1190" w:type="pct"/>
            <w:gridSpan w:val="7"/>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навън</w:t>
            </w:r>
          </w:p>
        </w:tc>
        <w:tc>
          <w:tcPr>
            <w:tcW w:w="1188" w:type="pct"/>
            <w:gridSpan w:val="5"/>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NR</w:t>
            </w:r>
          </w:p>
        </w:tc>
        <w:tc>
          <w:tcPr>
            <w:tcW w:w="1247" w:type="pct"/>
            <w:gridSpan w:val="2"/>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NR</w:t>
            </w:r>
          </w:p>
        </w:tc>
      </w:tr>
      <w:tr w:rsidR="008D6E9B" w:rsidRPr="00703017">
        <w:trPr>
          <w:cantSplit/>
          <w:jc w:val="center"/>
        </w:trPr>
        <w:tc>
          <w:tcPr>
            <w:tcW w:w="5000" w:type="pct"/>
            <w:gridSpan w:val="18"/>
            <w:shd w:val="clear" w:color="auto" w:fill="C0C0C0"/>
            <w:vAlign w:val="center"/>
          </w:tcPr>
          <w:p w:rsidR="008D6E9B" w:rsidRPr="00703017" w:rsidRDefault="008D6E9B" w:rsidP="00E72338">
            <w:pPr>
              <w:keepNext/>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 xml:space="preserve">Условия и мерки за информиране и съвети за поведението на потребителя </w:t>
            </w:r>
          </w:p>
        </w:tc>
      </w:tr>
      <w:tr w:rsidR="008D6E9B" w:rsidRPr="0070774F">
        <w:trPr>
          <w:cantSplit/>
          <w:jc w:val="center"/>
        </w:trPr>
        <w:tc>
          <w:tcPr>
            <w:tcW w:w="5000" w:type="pct"/>
            <w:gridSpan w:val="1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Не допускайте до очите, кожата или дрехите. Не вдишвайте праха. Използвайте филтърна полумаска (тип FFP2 съгласно EN 149).</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Дръжте контейнерите затворени и извън достъпа на деца.</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При контакт с очите, изплакнете веднага с много вода и потърсете лекарска помощ.</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Добре се измийте след работа. </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Не смесвайте с киселини и винаги добавяйте вар към водата, а не вода към варта.</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Поглъщането на градинската вар или тор от почвата при последващо напояване ще засили ефекта.</w:t>
            </w:r>
          </w:p>
        </w:tc>
      </w:tr>
      <w:tr w:rsidR="008D6E9B" w:rsidRPr="0070774F">
        <w:trPr>
          <w:cantSplit/>
          <w:jc w:val="center"/>
        </w:trPr>
        <w:tc>
          <w:tcPr>
            <w:tcW w:w="5000" w:type="pct"/>
            <w:gridSpan w:val="18"/>
            <w:shd w:val="clear" w:color="auto" w:fill="C0C0C0"/>
            <w:vAlign w:val="center"/>
          </w:tcPr>
          <w:p w:rsidR="008D6E9B" w:rsidRPr="00703017" w:rsidRDefault="008D6E9B" w:rsidP="00E72338">
            <w:pPr>
              <w:keepNext/>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за лична защита и хигиена</w:t>
            </w:r>
          </w:p>
        </w:tc>
      </w:tr>
      <w:tr w:rsidR="008D6E9B" w:rsidRPr="0070774F">
        <w:trPr>
          <w:cantSplit/>
          <w:jc w:val="center"/>
        </w:trPr>
        <w:tc>
          <w:tcPr>
            <w:tcW w:w="5000" w:type="pct"/>
            <w:gridSpan w:val="1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Носете подходящи ръкавици, очила и защитно облекло.</w:t>
            </w:r>
          </w:p>
        </w:tc>
      </w:tr>
      <w:tr w:rsidR="008D6E9B" w:rsidRPr="0070774F">
        <w:trPr>
          <w:cantSplit/>
          <w:jc w:val="center"/>
        </w:trPr>
        <w:tc>
          <w:tcPr>
            <w:tcW w:w="5000" w:type="pct"/>
            <w:gridSpan w:val="18"/>
            <w:shd w:val="clear" w:color="auto" w:fill="00FFFF"/>
            <w:vAlign w:val="center"/>
          </w:tcPr>
          <w:p w:rsidR="008D6E9B" w:rsidRPr="00703017" w:rsidRDefault="008D6E9B" w:rsidP="00E72338">
            <w:pPr>
              <w:keepNext/>
              <w:spacing w:line="240" w:lineRule="auto"/>
              <w:rPr>
                <w:rFonts w:ascii="Arial" w:hAnsi="Arial" w:cs="Arial"/>
                <w:b/>
                <w:bCs/>
                <w:color w:val="0000FF"/>
                <w:sz w:val="20"/>
                <w:szCs w:val="20"/>
                <w:lang w:val="bg-BG"/>
              </w:rPr>
            </w:pPr>
            <w:r w:rsidRPr="00703017">
              <w:rPr>
                <w:rFonts w:ascii="Arial" w:hAnsi="Arial" w:cs="Arial"/>
                <w:b/>
                <w:bCs/>
                <w:color w:val="0000FF"/>
                <w:sz w:val="20"/>
                <w:szCs w:val="20"/>
                <w:lang w:val="bg-BG"/>
              </w:rPr>
              <w:t>2.2 Контрол на експозицията за околната среда</w:t>
            </w:r>
          </w:p>
        </w:tc>
      </w:tr>
      <w:tr w:rsidR="008D6E9B"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E72338">
            <w:pPr>
              <w:keepNext/>
              <w:spacing w:line="240" w:lineRule="auto"/>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D6E9B"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vAlign w:val="center"/>
          </w:tcPr>
          <w:p w:rsidR="008D6E9B" w:rsidRPr="00703017" w:rsidRDefault="008D6E9B" w:rsidP="00E72338">
            <w:pPr>
              <w:spacing w:line="240" w:lineRule="auto"/>
              <w:rPr>
                <w:rFonts w:ascii="Arial" w:hAnsi="Arial" w:cs="Arial"/>
                <w:sz w:val="16"/>
                <w:szCs w:val="16"/>
                <w:lang w:val="bg-BG" w:eastAsia="de-DE"/>
              </w:rPr>
            </w:pPr>
            <w:r w:rsidRPr="00703017">
              <w:rPr>
                <w:rFonts w:ascii="Arial" w:hAnsi="Arial" w:cs="Arial"/>
                <w:sz w:val="16"/>
                <w:szCs w:val="16"/>
                <w:lang w:val="bg-BG"/>
              </w:rPr>
              <w:t>Дрейф: 1 % (очаквано в много лош случай, въз основа на измерванията на праха във въздуха като функция от разстоянието до обекта)</w:t>
            </w:r>
          </w:p>
        </w:tc>
      </w:tr>
      <w:tr w:rsidR="008D6E9B"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E72338">
            <w:pPr>
              <w:keepNext/>
              <w:spacing w:line="240" w:lineRule="auto"/>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D6E9B" w:rsidRPr="007077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986" w:type="pct"/>
            <w:gridSpan w:val="2"/>
            <w:vMerge w:val="restart"/>
            <w:tcBorders>
              <w:top w:val="nil"/>
              <w:left w:val="single" w:sz="8" w:space="0" w:color="auto"/>
              <w:right w:val="single" w:sz="4" w:space="0" w:color="auto"/>
            </w:tcBorders>
            <w:vAlign w:val="center"/>
          </w:tcPr>
          <w:p w:rsidR="008D6E9B" w:rsidRPr="00703017" w:rsidRDefault="008D6E9B" w:rsidP="00E72338">
            <w:pPr>
              <w:spacing w:line="240" w:lineRule="auto"/>
              <w:rPr>
                <w:rFonts w:ascii="Arial" w:hAnsi="Arial" w:cs="Arial"/>
                <w:sz w:val="16"/>
                <w:szCs w:val="16"/>
                <w:lang w:val="bg-BG" w:eastAsia="de-DE"/>
              </w:rPr>
            </w:pPr>
            <w:r w:rsidRPr="00703017">
              <w:rPr>
                <w:rFonts w:ascii="Arial" w:hAnsi="Arial" w:cs="Arial"/>
                <w:sz w:val="16"/>
                <w:szCs w:val="16"/>
                <w:lang w:val="bg-BG"/>
              </w:rPr>
              <w:t>Използвани количества</w:t>
            </w:r>
          </w:p>
        </w:tc>
        <w:tc>
          <w:tcPr>
            <w:tcW w:w="1024" w:type="pct"/>
            <w:gridSpan w:val="7"/>
            <w:tcBorders>
              <w:top w:val="nil"/>
              <w:left w:val="nil"/>
              <w:bottom w:val="single" w:sz="4" w:space="0" w:color="auto"/>
              <w:right w:val="single" w:sz="4" w:space="0" w:color="auto"/>
            </w:tcBorders>
            <w:vAlign w:val="center"/>
          </w:tcPr>
          <w:p w:rsidR="008D6E9B" w:rsidRPr="00703017" w:rsidRDefault="008D6E9B" w:rsidP="000248F1">
            <w:pPr>
              <w:keepNext/>
              <w:spacing w:line="240" w:lineRule="auto"/>
              <w:rPr>
                <w:rFonts w:ascii="Arial" w:hAnsi="Arial" w:cs="Arial"/>
                <w:sz w:val="16"/>
                <w:szCs w:val="16"/>
                <w:lang w:val="bg-BG" w:eastAsia="de-DE"/>
              </w:rPr>
            </w:pPr>
            <w:r w:rsidRPr="00703017">
              <w:rPr>
                <w:rFonts w:ascii="Arial" w:hAnsi="Arial" w:cs="Arial"/>
                <w:sz w:val="16"/>
                <w:szCs w:val="16"/>
                <w:lang w:val="bg-BG"/>
              </w:rPr>
              <w:t>Ca(OH)2</w:t>
            </w:r>
          </w:p>
        </w:tc>
        <w:tc>
          <w:tcPr>
            <w:tcW w:w="1027" w:type="pct"/>
            <w:gridSpan w:val="4"/>
            <w:tcBorders>
              <w:top w:val="nil"/>
              <w:left w:val="nil"/>
              <w:bottom w:val="single" w:sz="4" w:space="0" w:color="auto"/>
              <w:right w:val="single" w:sz="4" w:space="0" w:color="auto"/>
            </w:tcBorders>
            <w:vAlign w:val="center"/>
          </w:tcPr>
          <w:p w:rsidR="008D6E9B" w:rsidRPr="00703017" w:rsidRDefault="008D6E9B" w:rsidP="00E72338">
            <w:pPr>
              <w:keepNext/>
              <w:spacing w:line="240" w:lineRule="auto"/>
              <w:rPr>
                <w:rFonts w:ascii="Arial" w:hAnsi="Arial" w:cs="Arial"/>
                <w:sz w:val="16"/>
                <w:szCs w:val="16"/>
                <w:lang w:val="bg-BG" w:eastAsia="de-DE"/>
              </w:rPr>
            </w:pPr>
            <w:r>
              <w:rPr>
                <w:rFonts w:ascii="Arial" w:hAnsi="Arial" w:cs="Arial"/>
                <w:sz w:val="16"/>
                <w:szCs w:val="16"/>
                <w:lang w:val="bg-BG"/>
              </w:rPr>
              <w:t>2</w:t>
            </w:r>
            <w:r w:rsidRPr="00703017">
              <w:rPr>
                <w:rFonts w:ascii="Arial" w:hAnsi="Arial" w:cs="Arial"/>
                <w:sz w:val="16"/>
                <w:szCs w:val="16"/>
                <w:lang w:val="bg-BG"/>
              </w:rPr>
              <w:t>244 kg/ha</w:t>
            </w:r>
          </w:p>
        </w:tc>
        <w:tc>
          <w:tcPr>
            <w:tcW w:w="1964" w:type="pct"/>
            <w:gridSpan w:val="5"/>
            <w:vMerge w:val="restart"/>
            <w:tcBorders>
              <w:top w:val="nil"/>
              <w:left w:val="nil"/>
              <w:right w:val="single" w:sz="8" w:space="0" w:color="auto"/>
            </w:tcBorders>
            <w:vAlign w:val="center"/>
          </w:tcPr>
          <w:p w:rsidR="008D6E9B" w:rsidRPr="00703017" w:rsidRDefault="008D6E9B" w:rsidP="005C2B76">
            <w:pPr>
              <w:keepNext/>
              <w:spacing w:line="240" w:lineRule="auto"/>
              <w:rPr>
                <w:rFonts w:ascii="Arial" w:hAnsi="Arial" w:cs="Arial"/>
                <w:sz w:val="16"/>
                <w:szCs w:val="16"/>
                <w:lang w:val="bg-BG" w:eastAsia="de-DE"/>
              </w:rPr>
            </w:pPr>
            <w:r w:rsidRPr="00703017">
              <w:rPr>
                <w:rFonts w:ascii="Arial" w:hAnsi="Arial" w:cs="Arial"/>
                <w:sz w:val="16"/>
                <w:szCs w:val="16"/>
                <w:lang w:val="bg-BG"/>
              </w:rPr>
              <w:t>В професионалната селскостопанска защита на почвата се препоръчва да не надвишаваме 1700 kg CaO/</w:t>
            </w:r>
            <w:r>
              <w:rPr>
                <w:rFonts w:ascii="Arial" w:hAnsi="Arial" w:cs="Arial"/>
                <w:sz w:val="16"/>
                <w:szCs w:val="16"/>
                <w:lang w:val="de-DE"/>
              </w:rPr>
              <w:t>ha</w:t>
            </w:r>
            <w:r w:rsidRPr="00703017">
              <w:rPr>
                <w:rFonts w:ascii="Arial" w:hAnsi="Arial" w:cs="Arial"/>
                <w:sz w:val="16"/>
                <w:szCs w:val="16"/>
                <w:lang w:val="bg-BG"/>
              </w:rPr>
              <w:t xml:space="preserve"> или съответното количество от 2244 kg CaOH2 </w:t>
            </w:r>
            <w:r>
              <w:rPr>
                <w:rFonts w:ascii="Arial" w:hAnsi="Arial" w:cs="Arial"/>
                <w:sz w:val="16"/>
                <w:szCs w:val="16"/>
                <w:lang w:val="de-DE"/>
              </w:rPr>
              <w:t>ha</w:t>
            </w:r>
            <w:r w:rsidRPr="00703017">
              <w:rPr>
                <w:rFonts w:ascii="Arial" w:hAnsi="Arial" w:cs="Arial"/>
                <w:sz w:val="16"/>
                <w:szCs w:val="16"/>
                <w:lang w:val="bg-BG"/>
              </w:rPr>
              <w:t>. Тази норма е три пъти по-висока от количеството, необходимо за компенсиране на годишната загуба на вар при излужване на почвата. По тази причина, стойността 1700 kg CaO/</w:t>
            </w:r>
            <w:r>
              <w:rPr>
                <w:rFonts w:ascii="Arial" w:hAnsi="Arial" w:cs="Arial"/>
                <w:sz w:val="16"/>
                <w:szCs w:val="16"/>
                <w:lang w:val="de-DE"/>
              </w:rPr>
              <w:t>ha</w:t>
            </w:r>
            <w:r w:rsidRPr="00703017">
              <w:rPr>
                <w:rFonts w:ascii="Arial" w:hAnsi="Arial" w:cs="Arial"/>
                <w:sz w:val="16"/>
                <w:szCs w:val="16"/>
                <w:lang w:val="bg-BG"/>
              </w:rPr>
              <w:t xml:space="preserve"> или съответ</w:t>
            </w:r>
            <w:r>
              <w:rPr>
                <w:rFonts w:ascii="Arial" w:hAnsi="Arial" w:cs="Arial"/>
                <w:sz w:val="16"/>
                <w:szCs w:val="16"/>
                <w:lang w:val="bg-BG"/>
              </w:rPr>
              <w:t>ната стойност от 2244 kg CaOH2/</w:t>
            </w:r>
            <w:r>
              <w:rPr>
                <w:rFonts w:ascii="Arial" w:hAnsi="Arial" w:cs="Arial"/>
                <w:sz w:val="16"/>
                <w:szCs w:val="16"/>
                <w:lang w:val="de-DE"/>
              </w:rPr>
              <w:t>ha</w:t>
            </w:r>
            <w:r w:rsidRPr="00703017">
              <w:rPr>
                <w:rFonts w:ascii="Arial" w:hAnsi="Arial" w:cs="Arial"/>
                <w:sz w:val="16"/>
                <w:szCs w:val="16"/>
                <w:lang w:val="bg-BG"/>
              </w:rPr>
              <w:t xml:space="preserve"> се използва в това досие като основа за оценка на риска. Количеството, използвано при другите видове вар, може да се изчисли по техния състав и молекулярно тегло.</w:t>
            </w:r>
          </w:p>
        </w:tc>
      </w:tr>
      <w:tr w:rsidR="008D6E9B"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986" w:type="pct"/>
            <w:gridSpan w:val="2"/>
            <w:vMerge/>
            <w:tcBorders>
              <w:left w:val="single" w:sz="8" w:space="0" w:color="auto"/>
              <w:right w:val="single" w:sz="4" w:space="0" w:color="auto"/>
            </w:tcBorders>
            <w:vAlign w:val="center"/>
          </w:tcPr>
          <w:p w:rsidR="008D6E9B" w:rsidRPr="00703017" w:rsidRDefault="008D6E9B" w:rsidP="00E72338">
            <w:pPr>
              <w:keepNext/>
              <w:spacing w:line="240" w:lineRule="auto"/>
              <w:rPr>
                <w:rFonts w:ascii="Arial" w:hAnsi="Arial" w:cs="Arial"/>
                <w:b/>
                <w:bCs/>
                <w:sz w:val="16"/>
                <w:szCs w:val="16"/>
                <w:lang w:val="bg-BG" w:eastAsia="de-DE"/>
              </w:rPr>
            </w:pPr>
          </w:p>
        </w:tc>
        <w:tc>
          <w:tcPr>
            <w:tcW w:w="1024" w:type="pct"/>
            <w:gridSpan w:val="7"/>
            <w:tcBorders>
              <w:top w:val="nil"/>
              <w:left w:val="nil"/>
              <w:bottom w:val="single" w:sz="4" w:space="0" w:color="auto"/>
              <w:right w:val="single" w:sz="4" w:space="0" w:color="auto"/>
            </w:tcBorders>
            <w:vAlign w:val="center"/>
          </w:tcPr>
          <w:p w:rsidR="008D6E9B" w:rsidRPr="00703017" w:rsidRDefault="008D6E9B" w:rsidP="000248F1">
            <w:pPr>
              <w:keepNext/>
              <w:spacing w:line="240" w:lineRule="auto"/>
              <w:rPr>
                <w:rFonts w:ascii="Arial" w:hAnsi="Arial" w:cs="Arial"/>
                <w:sz w:val="16"/>
                <w:szCs w:val="16"/>
                <w:lang w:val="bg-BG" w:eastAsia="de-DE"/>
              </w:rPr>
            </w:pPr>
            <w:r w:rsidRPr="00703017">
              <w:rPr>
                <w:rFonts w:ascii="Arial" w:hAnsi="Arial" w:cs="Arial"/>
                <w:sz w:val="16"/>
                <w:szCs w:val="16"/>
                <w:lang w:val="bg-BG"/>
              </w:rPr>
              <w:t>CaO</w:t>
            </w:r>
          </w:p>
        </w:tc>
        <w:tc>
          <w:tcPr>
            <w:tcW w:w="1027" w:type="pct"/>
            <w:gridSpan w:val="4"/>
            <w:tcBorders>
              <w:top w:val="nil"/>
              <w:left w:val="nil"/>
              <w:bottom w:val="single" w:sz="4" w:space="0" w:color="auto"/>
              <w:right w:val="single" w:sz="4" w:space="0" w:color="auto"/>
            </w:tcBorders>
            <w:vAlign w:val="center"/>
          </w:tcPr>
          <w:p w:rsidR="008D6E9B" w:rsidRPr="00703017" w:rsidRDefault="008D6E9B" w:rsidP="00E72338">
            <w:pPr>
              <w:keepNext/>
              <w:spacing w:line="240" w:lineRule="auto"/>
              <w:rPr>
                <w:rFonts w:ascii="Arial" w:hAnsi="Arial" w:cs="Arial"/>
                <w:sz w:val="16"/>
                <w:szCs w:val="16"/>
                <w:lang w:val="bg-BG" w:eastAsia="de-DE"/>
              </w:rPr>
            </w:pPr>
            <w:r>
              <w:rPr>
                <w:rFonts w:ascii="Arial" w:hAnsi="Arial" w:cs="Arial"/>
                <w:sz w:val="16"/>
                <w:szCs w:val="16"/>
                <w:lang w:val="bg-BG"/>
              </w:rPr>
              <w:t>1</w:t>
            </w:r>
            <w:r w:rsidRPr="00703017">
              <w:rPr>
                <w:rFonts w:ascii="Arial" w:hAnsi="Arial" w:cs="Arial"/>
                <w:sz w:val="16"/>
                <w:szCs w:val="16"/>
                <w:lang w:val="bg-BG"/>
              </w:rPr>
              <w:t>700 kg/ha</w:t>
            </w:r>
          </w:p>
        </w:tc>
        <w:tc>
          <w:tcPr>
            <w:tcW w:w="1964" w:type="pct"/>
            <w:gridSpan w:val="5"/>
            <w:vMerge/>
            <w:tcBorders>
              <w:left w:val="nil"/>
              <w:right w:val="single" w:sz="8" w:space="0" w:color="auto"/>
            </w:tcBorders>
            <w:vAlign w:val="center"/>
          </w:tcPr>
          <w:p w:rsidR="008D6E9B" w:rsidRPr="00703017" w:rsidRDefault="008D6E9B" w:rsidP="00E72338">
            <w:pPr>
              <w:keepNext/>
              <w:spacing w:line="240" w:lineRule="auto"/>
              <w:rPr>
                <w:rFonts w:ascii="Arial" w:hAnsi="Arial" w:cs="Arial"/>
                <w:sz w:val="16"/>
                <w:szCs w:val="16"/>
                <w:lang w:val="bg-BG" w:eastAsia="de-DE"/>
              </w:rPr>
            </w:pPr>
          </w:p>
        </w:tc>
      </w:tr>
      <w:tr w:rsidR="008D6E9B"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986" w:type="pct"/>
            <w:gridSpan w:val="2"/>
            <w:vMerge/>
            <w:tcBorders>
              <w:left w:val="single" w:sz="8" w:space="0" w:color="auto"/>
              <w:right w:val="single" w:sz="4" w:space="0" w:color="auto"/>
            </w:tcBorders>
            <w:vAlign w:val="center"/>
          </w:tcPr>
          <w:p w:rsidR="008D6E9B" w:rsidRPr="00703017" w:rsidRDefault="008D6E9B" w:rsidP="00E72338">
            <w:pPr>
              <w:keepNext/>
              <w:spacing w:line="240" w:lineRule="auto"/>
              <w:rPr>
                <w:rFonts w:ascii="Arial" w:hAnsi="Arial" w:cs="Arial"/>
                <w:b/>
                <w:bCs/>
                <w:sz w:val="16"/>
                <w:szCs w:val="16"/>
                <w:lang w:val="bg-BG" w:eastAsia="de-DE"/>
              </w:rPr>
            </w:pPr>
          </w:p>
        </w:tc>
        <w:tc>
          <w:tcPr>
            <w:tcW w:w="1024" w:type="pct"/>
            <w:gridSpan w:val="7"/>
            <w:tcBorders>
              <w:top w:val="nil"/>
              <w:left w:val="nil"/>
              <w:bottom w:val="single" w:sz="4" w:space="0" w:color="auto"/>
              <w:right w:val="single" w:sz="4" w:space="0" w:color="auto"/>
            </w:tcBorders>
            <w:vAlign w:val="center"/>
          </w:tcPr>
          <w:p w:rsidR="008D6E9B" w:rsidRPr="00703017" w:rsidRDefault="008D6E9B" w:rsidP="000248F1">
            <w:pPr>
              <w:keepNext/>
              <w:spacing w:line="240" w:lineRule="auto"/>
              <w:rPr>
                <w:rFonts w:ascii="Arial" w:hAnsi="Arial" w:cs="Arial"/>
                <w:sz w:val="16"/>
                <w:szCs w:val="16"/>
                <w:lang w:val="bg-BG" w:eastAsia="de-DE"/>
              </w:rPr>
            </w:pPr>
            <w:r w:rsidRPr="00703017">
              <w:rPr>
                <w:rFonts w:ascii="Arial" w:hAnsi="Arial" w:cs="Arial"/>
                <w:sz w:val="16"/>
                <w:szCs w:val="16"/>
                <w:lang w:val="bg-BG"/>
              </w:rPr>
              <w:t>CaO.MgO</w:t>
            </w:r>
          </w:p>
        </w:tc>
        <w:tc>
          <w:tcPr>
            <w:tcW w:w="1027" w:type="pct"/>
            <w:gridSpan w:val="4"/>
            <w:tcBorders>
              <w:top w:val="nil"/>
              <w:left w:val="nil"/>
              <w:bottom w:val="single" w:sz="4" w:space="0" w:color="auto"/>
              <w:right w:val="single" w:sz="4" w:space="0" w:color="auto"/>
            </w:tcBorders>
            <w:vAlign w:val="center"/>
          </w:tcPr>
          <w:p w:rsidR="008D6E9B" w:rsidRPr="00703017" w:rsidRDefault="008D6E9B" w:rsidP="00E72338">
            <w:pPr>
              <w:keepNext/>
              <w:spacing w:line="240" w:lineRule="auto"/>
              <w:rPr>
                <w:rFonts w:ascii="Arial" w:hAnsi="Arial" w:cs="Arial"/>
                <w:sz w:val="16"/>
                <w:szCs w:val="16"/>
                <w:lang w:val="bg-BG" w:eastAsia="de-DE"/>
              </w:rPr>
            </w:pPr>
            <w:r>
              <w:rPr>
                <w:rFonts w:ascii="Arial" w:hAnsi="Arial" w:cs="Arial"/>
                <w:sz w:val="16"/>
                <w:szCs w:val="16"/>
                <w:lang w:val="bg-BG"/>
              </w:rPr>
              <w:t>1</w:t>
            </w:r>
            <w:r w:rsidRPr="00703017">
              <w:rPr>
                <w:rFonts w:ascii="Arial" w:hAnsi="Arial" w:cs="Arial"/>
                <w:sz w:val="16"/>
                <w:szCs w:val="16"/>
                <w:lang w:val="bg-BG"/>
              </w:rPr>
              <w:t>478 kg/ha</w:t>
            </w:r>
          </w:p>
        </w:tc>
        <w:tc>
          <w:tcPr>
            <w:tcW w:w="1964" w:type="pct"/>
            <w:gridSpan w:val="5"/>
            <w:vMerge/>
            <w:tcBorders>
              <w:left w:val="nil"/>
              <w:right w:val="single" w:sz="8" w:space="0" w:color="auto"/>
            </w:tcBorders>
            <w:vAlign w:val="center"/>
          </w:tcPr>
          <w:p w:rsidR="008D6E9B" w:rsidRPr="00703017" w:rsidRDefault="008D6E9B" w:rsidP="00E72338">
            <w:pPr>
              <w:keepNext/>
              <w:spacing w:line="240" w:lineRule="auto"/>
              <w:rPr>
                <w:rFonts w:ascii="Arial" w:hAnsi="Arial" w:cs="Arial"/>
                <w:sz w:val="16"/>
                <w:szCs w:val="16"/>
                <w:lang w:val="bg-BG" w:eastAsia="de-DE"/>
              </w:rPr>
            </w:pPr>
          </w:p>
        </w:tc>
      </w:tr>
      <w:tr w:rsidR="008D6E9B"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986" w:type="pct"/>
            <w:gridSpan w:val="2"/>
            <w:vMerge/>
            <w:tcBorders>
              <w:left w:val="single" w:sz="8" w:space="0" w:color="auto"/>
              <w:right w:val="single" w:sz="4" w:space="0" w:color="auto"/>
            </w:tcBorders>
            <w:vAlign w:val="center"/>
          </w:tcPr>
          <w:p w:rsidR="008D6E9B" w:rsidRPr="00703017" w:rsidRDefault="008D6E9B" w:rsidP="00E72338">
            <w:pPr>
              <w:keepNext/>
              <w:spacing w:line="240" w:lineRule="auto"/>
              <w:rPr>
                <w:rFonts w:ascii="Arial" w:hAnsi="Arial" w:cs="Arial"/>
                <w:b/>
                <w:bCs/>
                <w:sz w:val="16"/>
                <w:szCs w:val="16"/>
                <w:lang w:val="bg-BG" w:eastAsia="de-DE"/>
              </w:rPr>
            </w:pPr>
          </w:p>
        </w:tc>
        <w:tc>
          <w:tcPr>
            <w:tcW w:w="1024" w:type="pct"/>
            <w:gridSpan w:val="7"/>
            <w:tcBorders>
              <w:top w:val="nil"/>
              <w:left w:val="nil"/>
              <w:bottom w:val="single" w:sz="4" w:space="0" w:color="auto"/>
              <w:right w:val="single" w:sz="4" w:space="0" w:color="auto"/>
            </w:tcBorders>
            <w:vAlign w:val="center"/>
          </w:tcPr>
          <w:p w:rsidR="008D6E9B" w:rsidRPr="00703017" w:rsidRDefault="008D6E9B" w:rsidP="000248F1">
            <w:pPr>
              <w:keepNext/>
              <w:spacing w:line="240" w:lineRule="auto"/>
              <w:rPr>
                <w:rFonts w:ascii="Arial" w:hAnsi="Arial" w:cs="Arial"/>
                <w:sz w:val="16"/>
                <w:szCs w:val="16"/>
                <w:lang w:val="bg-BG" w:eastAsia="de-DE"/>
              </w:rPr>
            </w:pPr>
            <w:r w:rsidRPr="00703017">
              <w:rPr>
                <w:rFonts w:ascii="Arial" w:hAnsi="Arial" w:cs="Arial"/>
                <w:sz w:val="16"/>
                <w:szCs w:val="16"/>
                <w:lang w:val="bg-BG"/>
              </w:rPr>
              <w:t>CaCO3.MgO</w:t>
            </w:r>
          </w:p>
        </w:tc>
        <w:tc>
          <w:tcPr>
            <w:tcW w:w="1027" w:type="pct"/>
            <w:gridSpan w:val="4"/>
            <w:tcBorders>
              <w:top w:val="nil"/>
              <w:left w:val="nil"/>
              <w:bottom w:val="single" w:sz="4" w:space="0" w:color="auto"/>
              <w:right w:val="single" w:sz="4" w:space="0" w:color="auto"/>
            </w:tcBorders>
            <w:vAlign w:val="center"/>
          </w:tcPr>
          <w:p w:rsidR="008D6E9B" w:rsidRPr="00703017" w:rsidRDefault="008D6E9B" w:rsidP="00E72338">
            <w:pPr>
              <w:keepNext/>
              <w:spacing w:line="240" w:lineRule="auto"/>
              <w:rPr>
                <w:rFonts w:ascii="Arial" w:hAnsi="Arial" w:cs="Arial"/>
                <w:sz w:val="16"/>
                <w:szCs w:val="16"/>
                <w:lang w:val="bg-BG" w:eastAsia="de-DE"/>
              </w:rPr>
            </w:pPr>
            <w:r>
              <w:rPr>
                <w:rFonts w:ascii="Arial" w:hAnsi="Arial" w:cs="Arial"/>
                <w:sz w:val="16"/>
                <w:szCs w:val="16"/>
                <w:lang w:val="bg-BG"/>
              </w:rPr>
              <w:t>2</w:t>
            </w:r>
            <w:r w:rsidRPr="00703017">
              <w:rPr>
                <w:rFonts w:ascii="Arial" w:hAnsi="Arial" w:cs="Arial"/>
                <w:sz w:val="16"/>
                <w:szCs w:val="16"/>
                <w:lang w:val="bg-BG"/>
              </w:rPr>
              <w:t>149 kg/ha</w:t>
            </w:r>
          </w:p>
        </w:tc>
        <w:tc>
          <w:tcPr>
            <w:tcW w:w="1964" w:type="pct"/>
            <w:gridSpan w:val="5"/>
            <w:vMerge/>
            <w:tcBorders>
              <w:left w:val="nil"/>
              <w:right w:val="single" w:sz="8" w:space="0" w:color="auto"/>
            </w:tcBorders>
            <w:vAlign w:val="center"/>
          </w:tcPr>
          <w:p w:rsidR="008D6E9B" w:rsidRPr="00703017" w:rsidRDefault="008D6E9B" w:rsidP="00E72338">
            <w:pPr>
              <w:keepNext/>
              <w:spacing w:line="240" w:lineRule="auto"/>
              <w:rPr>
                <w:rFonts w:ascii="Arial" w:hAnsi="Arial" w:cs="Arial"/>
                <w:sz w:val="16"/>
                <w:szCs w:val="16"/>
                <w:lang w:val="bg-BG" w:eastAsia="de-DE"/>
              </w:rPr>
            </w:pPr>
          </w:p>
        </w:tc>
      </w:tr>
      <w:tr w:rsidR="008D6E9B"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986" w:type="pct"/>
            <w:gridSpan w:val="2"/>
            <w:vMerge/>
            <w:tcBorders>
              <w:left w:val="single" w:sz="8" w:space="0" w:color="auto"/>
              <w:right w:val="single" w:sz="4" w:space="0" w:color="auto"/>
            </w:tcBorders>
            <w:vAlign w:val="center"/>
          </w:tcPr>
          <w:p w:rsidR="008D6E9B" w:rsidRPr="00703017" w:rsidRDefault="008D6E9B" w:rsidP="00E72338">
            <w:pPr>
              <w:keepNext/>
              <w:spacing w:line="240" w:lineRule="auto"/>
              <w:rPr>
                <w:rFonts w:ascii="Arial" w:hAnsi="Arial" w:cs="Arial"/>
                <w:b/>
                <w:bCs/>
                <w:sz w:val="16"/>
                <w:szCs w:val="16"/>
                <w:lang w:val="bg-BG" w:eastAsia="de-DE"/>
              </w:rPr>
            </w:pPr>
          </w:p>
        </w:tc>
        <w:tc>
          <w:tcPr>
            <w:tcW w:w="1024" w:type="pct"/>
            <w:gridSpan w:val="7"/>
            <w:tcBorders>
              <w:top w:val="nil"/>
              <w:left w:val="nil"/>
              <w:bottom w:val="single" w:sz="4" w:space="0" w:color="auto"/>
              <w:right w:val="single" w:sz="4" w:space="0" w:color="auto"/>
            </w:tcBorders>
            <w:vAlign w:val="center"/>
          </w:tcPr>
          <w:p w:rsidR="008D6E9B" w:rsidRPr="00703017" w:rsidRDefault="008D6E9B" w:rsidP="000248F1">
            <w:pPr>
              <w:keepNext/>
              <w:spacing w:line="240" w:lineRule="auto"/>
              <w:rPr>
                <w:rFonts w:ascii="Arial" w:hAnsi="Arial" w:cs="Arial"/>
                <w:sz w:val="16"/>
                <w:szCs w:val="16"/>
                <w:lang w:val="bg-BG" w:eastAsia="de-DE"/>
              </w:rPr>
            </w:pPr>
            <w:r w:rsidRPr="00703017">
              <w:rPr>
                <w:rFonts w:ascii="Arial" w:hAnsi="Arial" w:cs="Arial"/>
                <w:sz w:val="16"/>
                <w:szCs w:val="16"/>
                <w:lang w:val="bg-BG"/>
              </w:rPr>
              <w:t>Ca(OH)2.MgO</w:t>
            </w:r>
          </w:p>
        </w:tc>
        <w:tc>
          <w:tcPr>
            <w:tcW w:w="1027" w:type="pct"/>
            <w:gridSpan w:val="4"/>
            <w:tcBorders>
              <w:top w:val="nil"/>
              <w:left w:val="nil"/>
              <w:bottom w:val="single" w:sz="4" w:space="0" w:color="auto"/>
              <w:right w:val="single" w:sz="4" w:space="0" w:color="auto"/>
            </w:tcBorders>
            <w:vAlign w:val="center"/>
          </w:tcPr>
          <w:p w:rsidR="008D6E9B" w:rsidRPr="00703017" w:rsidRDefault="008D6E9B" w:rsidP="00E72338">
            <w:pPr>
              <w:keepNext/>
              <w:spacing w:line="240" w:lineRule="auto"/>
              <w:rPr>
                <w:rFonts w:ascii="Arial" w:hAnsi="Arial" w:cs="Arial"/>
                <w:sz w:val="16"/>
                <w:szCs w:val="16"/>
                <w:lang w:val="bg-BG" w:eastAsia="de-DE"/>
              </w:rPr>
            </w:pPr>
            <w:r>
              <w:rPr>
                <w:rFonts w:ascii="Arial" w:hAnsi="Arial" w:cs="Arial"/>
                <w:sz w:val="16"/>
                <w:szCs w:val="16"/>
                <w:lang w:val="bg-BG"/>
              </w:rPr>
              <w:t>1</w:t>
            </w:r>
            <w:r w:rsidRPr="00703017">
              <w:rPr>
                <w:rFonts w:ascii="Arial" w:hAnsi="Arial" w:cs="Arial"/>
                <w:sz w:val="16"/>
                <w:szCs w:val="16"/>
                <w:lang w:val="bg-BG"/>
              </w:rPr>
              <w:t>774 kg/ha</w:t>
            </w:r>
          </w:p>
        </w:tc>
        <w:tc>
          <w:tcPr>
            <w:tcW w:w="1964" w:type="pct"/>
            <w:gridSpan w:val="5"/>
            <w:vMerge/>
            <w:tcBorders>
              <w:left w:val="nil"/>
              <w:right w:val="single" w:sz="8" w:space="0" w:color="auto"/>
            </w:tcBorders>
            <w:vAlign w:val="center"/>
          </w:tcPr>
          <w:p w:rsidR="008D6E9B" w:rsidRPr="00703017" w:rsidRDefault="008D6E9B" w:rsidP="00E72338">
            <w:pPr>
              <w:keepNext/>
              <w:spacing w:line="240" w:lineRule="auto"/>
              <w:rPr>
                <w:rFonts w:ascii="Arial" w:hAnsi="Arial" w:cs="Arial"/>
                <w:sz w:val="16"/>
                <w:szCs w:val="16"/>
                <w:lang w:val="bg-BG" w:eastAsia="de-DE"/>
              </w:rPr>
            </w:pPr>
          </w:p>
        </w:tc>
      </w:tr>
      <w:tr w:rsidR="008D6E9B"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986" w:type="pct"/>
            <w:gridSpan w:val="2"/>
            <w:vMerge/>
            <w:tcBorders>
              <w:left w:val="single" w:sz="8" w:space="0" w:color="auto"/>
              <w:bottom w:val="single" w:sz="4" w:space="0" w:color="000000"/>
              <w:right w:val="single" w:sz="4" w:space="0" w:color="auto"/>
            </w:tcBorders>
            <w:vAlign w:val="center"/>
          </w:tcPr>
          <w:p w:rsidR="008D6E9B" w:rsidRPr="00703017" w:rsidRDefault="008D6E9B" w:rsidP="00E72338">
            <w:pPr>
              <w:keepNext/>
              <w:spacing w:line="240" w:lineRule="auto"/>
              <w:rPr>
                <w:rFonts w:ascii="Arial" w:hAnsi="Arial" w:cs="Arial"/>
                <w:b/>
                <w:bCs/>
                <w:sz w:val="16"/>
                <w:szCs w:val="16"/>
                <w:lang w:val="bg-BG" w:eastAsia="de-DE"/>
              </w:rPr>
            </w:pPr>
          </w:p>
        </w:tc>
        <w:tc>
          <w:tcPr>
            <w:tcW w:w="1024" w:type="pct"/>
            <w:gridSpan w:val="7"/>
            <w:tcBorders>
              <w:top w:val="nil"/>
              <w:left w:val="nil"/>
              <w:bottom w:val="single" w:sz="4" w:space="0" w:color="auto"/>
              <w:right w:val="single" w:sz="4" w:space="0" w:color="auto"/>
            </w:tcBorders>
            <w:vAlign w:val="center"/>
          </w:tcPr>
          <w:p w:rsidR="008D6E9B" w:rsidRPr="00703017" w:rsidRDefault="008D6E9B" w:rsidP="00E72338">
            <w:pPr>
              <w:keepNext/>
              <w:spacing w:line="240" w:lineRule="auto"/>
              <w:rPr>
                <w:rFonts w:ascii="Arial" w:hAnsi="Arial" w:cs="Arial"/>
                <w:sz w:val="16"/>
                <w:szCs w:val="16"/>
                <w:lang w:val="bg-BG" w:eastAsia="de-DE"/>
              </w:rPr>
            </w:pPr>
            <w:r w:rsidRPr="00703017">
              <w:rPr>
                <w:rFonts w:ascii="Arial" w:hAnsi="Arial" w:cs="Arial"/>
                <w:sz w:val="16"/>
                <w:szCs w:val="16"/>
                <w:lang w:val="bg-BG"/>
              </w:rPr>
              <w:t>Естествена хидравлична вар</w:t>
            </w:r>
          </w:p>
        </w:tc>
        <w:tc>
          <w:tcPr>
            <w:tcW w:w="1027" w:type="pct"/>
            <w:gridSpan w:val="4"/>
            <w:tcBorders>
              <w:top w:val="nil"/>
              <w:left w:val="nil"/>
              <w:bottom w:val="single" w:sz="4" w:space="0" w:color="auto"/>
              <w:right w:val="single" w:sz="4" w:space="0" w:color="auto"/>
            </w:tcBorders>
            <w:vAlign w:val="center"/>
          </w:tcPr>
          <w:p w:rsidR="008D6E9B" w:rsidRPr="00703017" w:rsidRDefault="008D6E9B" w:rsidP="00E72338">
            <w:pPr>
              <w:keepNext/>
              <w:spacing w:line="240" w:lineRule="auto"/>
              <w:rPr>
                <w:rFonts w:ascii="Arial" w:hAnsi="Arial" w:cs="Arial"/>
                <w:sz w:val="16"/>
                <w:szCs w:val="16"/>
                <w:lang w:val="bg-BG" w:eastAsia="de-DE"/>
              </w:rPr>
            </w:pPr>
            <w:r>
              <w:rPr>
                <w:rFonts w:ascii="Arial" w:hAnsi="Arial" w:cs="Arial"/>
                <w:sz w:val="16"/>
                <w:szCs w:val="16"/>
                <w:lang w:val="bg-BG"/>
              </w:rPr>
              <w:t>2</w:t>
            </w:r>
            <w:r w:rsidRPr="00703017">
              <w:rPr>
                <w:rFonts w:ascii="Arial" w:hAnsi="Arial" w:cs="Arial"/>
                <w:sz w:val="16"/>
                <w:szCs w:val="16"/>
                <w:lang w:val="bg-BG"/>
              </w:rPr>
              <w:t>420 kg/ha</w:t>
            </w:r>
          </w:p>
        </w:tc>
        <w:tc>
          <w:tcPr>
            <w:tcW w:w="1964" w:type="pct"/>
            <w:gridSpan w:val="5"/>
            <w:vMerge/>
            <w:tcBorders>
              <w:left w:val="nil"/>
              <w:bottom w:val="single" w:sz="4" w:space="0" w:color="auto"/>
              <w:right w:val="single" w:sz="8" w:space="0" w:color="auto"/>
            </w:tcBorders>
            <w:vAlign w:val="center"/>
          </w:tcPr>
          <w:p w:rsidR="008D6E9B" w:rsidRPr="00703017" w:rsidRDefault="008D6E9B" w:rsidP="00E72338">
            <w:pPr>
              <w:keepNext/>
              <w:spacing w:line="240" w:lineRule="auto"/>
              <w:rPr>
                <w:rFonts w:ascii="Arial" w:hAnsi="Arial" w:cs="Arial"/>
                <w:sz w:val="16"/>
                <w:szCs w:val="16"/>
                <w:lang w:val="bg-BG" w:eastAsia="de-DE"/>
              </w:rPr>
            </w:pPr>
          </w:p>
        </w:tc>
      </w:tr>
      <w:tr w:rsidR="008D6E9B"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E72338">
            <w:pPr>
              <w:keepNext/>
              <w:spacing w:line="240" w:lineRule="auto"/>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D6E9B"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vAlign w:val="center"/>
          </w:tcPr>
          <w:p w:rsidR="008D6E9B" w:rsidRPr="00703017" w:rsidRDefault="008D6E9B" w:rsidP="0087484B">
            <w:pPr>
              <w:spacing w:line="240" w:lineRule="auto"/>
              <w:rPr>
                <w:rFonts w:ascii="Arial" w:hAnsi="Arial" w:cs="Arial"/>
                <w:sz w:val="16"/>
                <w:szCs w:val="16"/>
                <w:lang w:val="bg-BG" w:eastAsia="de-DE"/>
              </w:rPr>
            </w:pPr>
            <w:r w:rsidRPr="00703017">
              <w:rPr>
                <w:rFonts w:ascii="Arial" w:hAnsi="Arial" w:cs="Arial"/>
                <w:sz w:val="16"/>
                <w:szCs w:val="16"/>
                <w:lang w:val="bg-BG"/>
              </w:rPr>
              <w:t xml:space="preserve">1 ден/година (едно приложение в годината) Позволено е многократно прилагане през годината, при положение че общото годишно количество от </w:t>
            </w:r>
            <w:r w:rsidRPr="0087484B">
              <w:rPr>
                <w:rFonts w:ascii="Arial" w:hAnsi="Arial" w:cs="Arial"/>
                <w:sz w:val="16"/>
                <w:szCs w:val="16"/>
              </w:rPr>
              <w:t>1 700</w:t>
            </w:r>
            <w:r w:rsidRPr="00703017">
              <w:rPr>
                <w:rFonts w:ascii="Arial" w:hAnsi="Arial" w:cs="Arial"/>
                <w:sz w:val="16"/>
                <w:szCs w:val="16"/>
                <w:lang w:val="bg-BG"/>
              </w:rPr>
              <w:t xml:space="preserve"> kg/ha не се </w:t>
            </w:r>
            <w:r w:rsidRPr="0070774F">
              <w:rPr>
                <w:rFonts w:ascii="Arial" w:hAnsi="Arial" w:cs="Arial"/>
                <w:sz w:val="16"/>
                <w:szCs w:val="16"/>
                <w:lang w:val="bg-BG"/>
              </w:rPr>
              <w:t>надхвърля (CaO)</w:t>
            </w:r>
          </w:p>
        </w:tc>
      </w:tr>
      <w:tr w:rsidR="008D6E9B"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shd w:val="clear" w:color="000000" w:fill="CCCCCC"/>
            <w:vAlign w:val="center"/>
          </w:tcPr>
          <w:p w:rsidR="008D6E9B" w:rsidRPr="00703017" w:rsidRDefault="008D6E9B" w:rsidP="00E72338">
            <w:pPr>
              <w:keepNext/>
              <w:spacing w:line="240" w:lineRule="auto"/>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D6E9B"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vAlign w:val="center"/>
          </w:tcPr>
          <w:p w:rsidR="008D6E9B" w:rsidRPr="00703017" w:rsidRDefault="008D6E9B" w:rsidP="00E72338">
            <w:pPr>
              <w:spacing w:line="240" w:lineRule="auto"/>
              <w:rPr>
                <w:rFonts w:ascii="Arial" w:hAnsi="Arial" w:cs="Arial"/>
                <w:sz w:val="16"/>
                <w:szCs w:val="16"/>
                <w:lang w:val="bg-BG" w:eastAsia="de-DE"/>
              </w:rPr>
            </w:pPr>
            <w:r w:rsidRPr="00703017">
              <w:rPr>
                <w:rFonts w:ascii="Arial" w:hAnsi="Arial" w:cs="Arial"/>
                <w:sz w:val="16"/>
                <w:szCs w:val="16"/>
                <w:lang w:val="bg-BG"/>
              </w:rPr>
              <w:t>Ирелевантно за оценка на експозицията</w:t>
            </w:r>
          </w:p>
        </w:tc>
      </w:tr>
      <w:tr w:rsidR="008D6E9B"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E72338">
            <w:pPr>
              <w:keepNext/>
              <w:spacing w:line="240" w:lineRule="auto"/>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vAlign w:val="center"/>
          </w:tcPr>
          <w:p w:rsidR="008D6E9B" w:rsidRPr="00703017" w:rsidRDefault="008D6E9B" w:rsidP="00E72338">
            <w:pPr>
              <w:spacing w:line="240" w:lineRule="auto"/>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D6E9B" w:rsidRPr="00703017" w:rsidRDefault="008D6E9B" w:rsidP="00E72338">
            <w:pPr>
              <w:spacing w:line="240" w:lineRule="auto"/>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D6E9B"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E72338">
            <w:pPr>
              <w:keepNext/>
              <w:spacing w:line="240" w:lineRule="auto"/>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D6E9B"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vAlign w:val="center"/>
          </w:tcPr>
          <w:p w:rsidR="008D6E9B" w:rsidRPr="00703017" w:rsidRDefault="008D6E9B" w:rsidP="00E72338">
            <w:pPr>
              <w:spacing w:line="240" w:lineRule="auto"/>
              <w:rPr>
                <w:rFonts w:ascii="Arial" w:hAnsi="Arial" w:cs="Arial"/>
                <w:sz w:val="16"/>
                <w:szCs w:val="16"/>
                <w:lang w:val="bg-BG" w:eastAsia="de-DE"/>
              </w:rPr>
            </w:pPr>
            <w:r w:rsidRPr="00703017">
              <w:rPr>
                <w:rFonts w:ascii="Arial" w:hAnsi="Arial" w:cs="Arial"/>
                <w:sz w:val="16"/>
                <w:szCs w:val="16"/>
                <w:lang w:val="bg-BG"/>
              </w:rPr>
              <w:t>Няма директни отделяния в прилежащите повърхностни води.</w:t>
            </w:r>
          </w:p>
        </w:tc>
      </w:tr>
      <w:tr w:rsidR="008D6E9B"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shd w:val="clear" w:color="000000" w:fill="C0C0C0"/>
            <w:vAlign w:val="center"/>
          </w:tcPr>
          <w:p w:rsidR="008D6E9B" w:rsidRPr="00703017" w:rsidRDefault="008D6E9B" w:rsidP="00E72338">
            <w:pPr>
              <w:keepNext/>
              <w:spacing w:line="240" w:lineRule="auto"/>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намаляване или ограничаване на отделянията, емисиите във въздуха и почвата</w:t>
            </w:r>
          </w:p>
        </w:tc>
      </w:tr>
      <w:tr w:rsidR="008D6E9B"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vAlign w:val="center"/>
          </w:tcPr>
          <w:p w:rsidR="008D6E9B" w:rsidRPr="00703017" w:rsidRDefault="008D6E9B" w:rsidP="00E72338">
            <w:pPr>
              <w:spacing w:line="240" w:lineRule="auto"/>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D6E9B" w:rsidRPr="00703017">
        <w:trPr>
          <w:cantSplit/>
          <w:jc w:val="center"/>
        </w:trPr>
        <w:tc>
          <w:tcPr>
            <w:tcW w:w="5000" w:type="pct"/>
            <w:gridSpan w:val="18"/>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свързани с общинските ПСОВ</w:t>
            </w:r>
          </w:p>
        </w:tc>
      </w:tr>
      <w:tr w:rsidR="008D6E9B" w:rsidRPr="00703017">
        <w:trPr>
          <w:cantSplit/>
          <w:jc w:val="center"/>
        </w:trPr>
        <w:tc>
          <w:tcPr>
            <w:tcW w:w="5000" w:type="pct"/>
            <w:gridSpan w:val="1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Ирелевантно за оценка на експозицията </w:t>
            </w:r>
          </w:p>
        </w:tc>
      </w:tr>
      <w:tr w:rsidR="008D6E9B" w:rsidRPr="00703017">
        <w:trPr>
          <w:cantSplit/>
          <w:jc w:val="center"/>
        </w:trPr>
        <w:tc>
          <w:tcPr>
            <w:tcW w:w="5000" w:type="pct"/>
            <w:gridSpan w:val="18"/>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 xml:space="preserve">Условия и мерки, свързани с външното третиране на отпадъците за депониране </w:t>
            </w:r>
          </w:p>
        </w:tc>
      </w:tr>
      <w:tr w:rsidR="008D6E9B" w:rsidRPr="00703017">
        <w:trPr>
          <w:cantSplit/>
          <w:jc w:val="center"/>
        </w:trPr>
        <w:tc>
          <w:tcPr>
            <w:tcW w:w="5000" w:type="pct"/>
            <w:gridSpan w:val="18"/>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5000" w:type="pct"/>
            <w:gridSpan w:val="18"/>
            <w:shd w:val="clear" w:color="auto" w:fill="C0C0C0"/>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Условия и мерки, свързани с външното регенериране на отпадъците</w:t>
            </w:r>
          </w:p>
        </w:tc>
      </w:tr>
      <w:tr w:rsidR="008D6E9B" w:rsidRPr="00703017">
        <w:trPr>
          <w:cantSplit/>
          <w:jc w:val="center"/>
        </w:trPr>
        <w:tc>
          <w:tcPr>
            <w:tcW w:w="5000" w:type="pct"/>
            <w:gridSpan w:val="18"/>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5000" w:type="pct"/>
            <w:gridSpan w:val="18"/>
            <w:shd w:val="clear" w:color="auto" w:fill="00FFFF"/>
            <w:vAlign w:val="center"/>
          </w:tcPr>
          <w:p w:rsidR="008D6E9B" w:rsidRPr="00703017" w:rsidRDefault="008D6E9B" w:rsidP="00E72338">
            <w:pPr>
              <w:keepNext/>
              <w:spacing w:line="240" w:lineRule="auto"/>
              <w:rPr>
                <w:rFonts w:ascii="Arial" w:hAnsi="Arial" w:cs="Arial"/>
                <w:i/>
                <w:iCs/>
                <w:color w:val="0000FF"/>
                <w:sz w:val="20"/>
                <w:szCs w:val="20"/>
                <w:lang w:val="bg-BG"/>
              </w:rPr>
            </w:pPr>
            <w:r w:rsidRPr="00703017">
              <w:rPr>
                <w:rFonts w:ascii="Arial" w:hAnsi="Arial" w:cs="Arial"/>
                <w:b/>
                <w:bCs/>
                <w:color w:val="0000FF"/>
                <w:sz w:val="20"/>
                <w:szCs w:val="20"/>
                <w:lang w:val="bg-BG"/>
              </w:rPr>
              <w:t>3. Оценка на експозицията и референция на източника</w:t>
            </w:r>
          </w:p>
        </w:tc>
      </w:tr>
      <w:tr w:rsidR="008D6E9B" w:rsidRPr="0070774F">
        <w:trPr>
          <w:cantSplit/>
          <w:jc w:val="center"/>
        </w:trPr>
        <w:tc>
          <w:tcPr>
            <w:tcW w:w="5000" w:type="pct"/>
            <w:gridSpan w:val="1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Съотношението на характеризиране на риска (RCR) е отношение на прецизната оценка на експозицията и съответното DNEL (получено безопасно ниво) и е дадено в скоби по-долу. За експозицията при вдишване, RCR се основава на дълготрайното DNEL за </w:t>
            </w:r>
            <w:r>
              <w:rPr>
                <w:rFonts w:ascii="Arial" w:hAnsi="Arial" w:cs="Arial"/>
                <w:sz w:val="16"/>
                <w:szCs w:val="16"/>
                <w:lang w:val="bg-BG"/>
              </w:rPr>
              <w:t>варови</w:t>
            </w:r>
            <w:r w:rsidRPr="00703017">
              <w:rPr>
                <w:rFonts w:ascii="Arial" w:hAnsi="Arial" w:cs="Arial"/>
                <w:sz w:val="16"/>
                <w:szCs w:val="16"/>
                <w:lang w:val="bg-BG"/>
              </w:rPr>
              <w:t xml:space="preserve"> вещества от 1 mg/m</w:t>
            </w:r>
            <w:r w:rsidRPr="00703017">
              <w:rPr>
                <w:rFonts w:ascii="Arial" w:hAnsi="Arial" w:cs="Arial"/>
                <w:sz w:val="16"/>
                <w:szCs w:val="16"/>
                <w:vertAlign w:val="superscript"/>
                <w:lang w:val="bg-BG"/>
              </w:rPr>
              <w:t>3</w:t>
            </w:r>
            <w:r w:rsidRPr="00703017">
              <w:rPr>
                <w:rFonts w:ascii="Arial" w:hAnsi="Arial" w:cs="Arial"/>
                <w:sz w:val="16"/>
                <w:szCs w:val="16"/>
                <w:lang w:val="bg-BG"/>
              </w:rPr>
              <w:t xml:space="preserve"> (като вдишван прах) и съответната очаквана експозиция при вдишване (като вдишван прах). По този начин, RCR включва една допълнителна граница на сигурност, тъй кат</w:t>
            </w:r>
            <w:r>
              <w:rPr>
                <w:rFonts w:ascii="Arial" w:hAnsi="Arial" w:cs="Arial"/>
                <w:sz w:val="16"/>
                <w:szCs w:val="16"/>
                <w:lang w:val="bg-BG"/>
              </w:rPr>
              <w:t>о вдишаната фракция е под</w:t>
            </w:r>
            <w:r w:rsidRPr="00703017">
              <w:rPr>
                <w:rFonts w:ascii="Arial" w:hAnsi="Arial" w:cs="Arial"/>
                <w:sz w:val="16"/>
                <w:szCs w:val="16"/>
                <w:lang w:val="bg-BG"/>
              </w:rPr>
              <w:t>фракция на вдишваната фракция, съгласно EN 481.</w:t>
            </w:r>
          </w:p>
          <w:p w:rsidR="008D6E9B" w:rsidRPr="00703017" w:rsidRDefault="008D6E9B" w:rsidP="00E72338">
            <w:pPr>
              <w:spacing w:line="240" w:lineRule="auto"/>
              <w:rPr>
                <w:rFonts w:ascii="Arial" w:hAnsi="Arial" w:cs="Arial"/>
                <w:i/>
                <w:iCs/>
                <w:sz w:val="16"/>
                <w:szCs w:val="16"/>
                <w:lang w:val="bg-BG"/>
              </w:rPr>
            </w:pPr>
            <w:r>
              <w:rPr>
                <w:rFonts w:ascii="Arial" w:hAnsi="Arial" w:cs="Arial"/>
                <w:sz w:val="16"/>
                <w:szCs w:val="16"/>
                <w:lang w:val="bg-BG"/>
              </w:rPr>
              <w:t>Тъй като варо</w:t>
            </w:r>
            <w:r w:rsidRPr="00703017">
              <w:rPr>
                <w:rFonts w:ascii="Arial" w:hAnsi="Arial" w:cs="Arial"/>
                <w:sz w:val="16"/>
                <w:szCs w:val="16"/>
                <w:lang w:val="bg-BG"/>
              </w:rPr>
              <w:t>вите вещества се класифицират като дразнещи кожата и очите, се извърши качествена оценка при дермална експозиция и експозиция на очите.</w:t>
            </w:r>
          </w:p>
        </w:tc>
      </w:tr>
      <w:tr w:rsidR="008D6E9B" w:rsidRPr="00703017">
        <w:trPr>
          <w:cantSplit/>
          <w:jc w:val="center"/>
        </w:trPr>
        <w:tc>
          <w:tcPr>
            <w:tcW w:w="5000" w:type="pct"/>
            <w:gridSpan w:val="18"/>
            <w:shd w:val="clear" w:color="auto" w:fill="BFBFBF"/>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Човешка експозиция</w:t>
            </w:r>
          </w:p>
        </w:tc>
      </w:tr>
      <w:tr w:rsidR="008D6E9B" w:rsidRPr="00703017">
        <w:trPr>
          <w:cantSplit/>
          <w:jc w:val="center"/>
        </w:trPr>
        <w:tc>
          <w:tcPr>
            <w:tcW w:w="5000" w:type="pct"/>
            <w:gridSpan w:val="18"/>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Ръчно приложение</w:t>
            </w:r>
          </w:p>
        </w:tc>
      </w:tr>
      <w:tr w:rsidR="008D6E9B" w:rsidRPr="00703017">
        <w:trPr>
          <w:cantSplit/>
          <w:jc w:val="center"/>
        </w:trPr>
        <w:tc>
          <w:tcPr>
            <w:tcW w:w="870" w:type="pct"/>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Маршрут на експозицията</w:t>
            </w:r>
          </w:p>
        </w:tc>
        <w:tc>
          <w:tcPr>
            <w:tcW w:w="1451" w:type="pct"/>
            <w:gridSpan w:val="9"/>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Оценка на експозиция</w:t>
            </w:r>
          </w:p>
        </w:tc>
        <w:tc>
          <w:tcPr>
            <w:tcW w:w="2678" w:type="pct"/>
            <w:gridSpan w:val="8"/>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Използван метод, коментари</w:t>
            </w:r>
          </w:p>
        </w:tc>
      </w:tr>
      <w:tr w:rsidR="008D6E9B" w:rsidRPr="0070774F">
        <w:trPr>
          <w:cantSplit/>
          <w:jc w:val="center"/>
        </w:trPr>
        <w:tc>
          <w:tcPr>
            <w:tcW w:w="870" w:type="pct"/>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Орален</w:t>
            </w:r>
          </w:p>
        </w:tc>
        <w:tc>
          <w:tcPr>
            <w:tcW w:w="1451" w:type="pct"/>
            <w:gridSpan w:val="9"/>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w:t>
            </w:r>
          </w:p>
        </w:tc>
        <w:tc>
          <w:tcPr>
            <w:tcW w:w="2678" w:type="pct"/>
            <w:gridSpan w:val="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Не се появява орална експозиция като част от намеренията за употреба.</w:t>
            </w:r>
          </w:p>
        </w:tc>
      </w:tr>
      <w:tr w:rsidR="008D6E9B" w:rsidRPr="0070774F">
        <w:trPr>
          <w:cantSplit/>
          <w:jc w:val="center"/>
        </w:trPr>
        <w:tc>
          <w:tcPr>
            <w:tcW w:w="870" w:type="pct"/>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lastRenderedPageBreak/>
              <w:t>Дермален</w:t>
            </w:r>
          </w:p>
        </w:tc>
        <w:tc>
          <w:tcPr>
            <w:tcW w:w="1451" w:type="pct"/>
            <w:gridSpan w:val="9"/>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Прах, прахообразен</w:t>
            </w:r>
          </w:p>
        </w:tc>
        <w:tc>
          <w:tcPr>
            <w:tcW w:w="2678" w:type="pct"/>
            <w:gridSpan w:val="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Ако се вземат предвид мерките за ограничаване на риска, не си очаква никаква човешка експозиция. Не може обаче да се изключи кожен контакт с</w:t>
            </w:r>
            <w:r>
              <w:rPr>
                <w:rFonts w:ascii="Arial" w:hAnsi="Arial" w:cs="Arial"/>
                <w:sz w:val="16"/>
                <w:szCs w:val="16"/>
                <w:lang w:val="bg-BG"/>
              </w:rPr>
              <w:t xml:space="preserve"> праха при прилагане на варо</w:t>
            </w:r>
            <w:r w:rsidRPr="00703017">
              <w:rPr>
                <w:rFonts w:ascii="Arial" w:hAnsi="Arial" w:cs="Arial"/>
                <w:sz w:val="16"/>
                <w:szCs w:val="16"/>
                <w:lang w:val="bg-BG"/>
              </w:rPr>
              <w:t>вото вещество или директен контакт с варта, ако не се носят предпазни ръкавици. Поради сравнително дългото време на прилагане се очаква раздразнение на кожата. Това лесно се преодолява с незабавна промивка с вода. Предполага се, че потребителите, които са получавали раздразнение на кожата, ще се предпазват. Следователно, всяко раздразнение на кожата е поправимо и може да се приеме, че няма да се повтаря.</w:t>
            </w:r>
          </w:p>
        </w:tc>
      </w:tr>
      <w:tr w:rsidR="008D6E9B" w:rsidRPr="0070774F">
        <w:trPr>
          <w:cantSplit/>
          <w:jc w:val="center"/>
        </w:trPr>
        <w:tc>
          <w:tcPr>
            <w:tcW w:w="870" w:type="pct"/>
            <w:vAlign w:val="center"/>
          </w:tcPr>
          <w:p w:rsidR="008D6E9B" w:rsidRPr="00703017" w:rsidRDefault="008D6E9B" w:rsidP="00E72338">
            <w:pPr>
              <w:spacing w:line="240" w:lineRule="auto"/>
              <w:rPr>
                <w:rFonts w:ascii="Arial" w:hAnsi="Arial" w:cs="Arial"/>
                <w:sz w:val="16"/>
                <w:szCs w:val="16"/>
                <w:lang w:val="bg-BG"/>
              </w:rPr>
            </w:pPr>
            <w:r w:rsidRPr="00EA5B17">
              <w:rPr>
                <w:rFonts w:ascii="Arial" w:hAnsi="Arial" w:cs="Arial"/>
                <w:sz w:val="16"/>
                <w:szCs w:val="16"/>
                <w:lang w:val="bg-BG"/>
              </w:rPr>
              <w:t>Очи</w:t>
            </w:r>
          </w:p>
        </w:tc>
        <w:tc>
          <w:tcPr>
            <w:tcW w:w="1451" w:type="pct"/>
            <w:gridSpan w:val="9"/>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Прах</w:t>
            </w:r>
          </w:p>
        </w:tc>
        <w:tc>
          <w:tcPr>
            <w:tcW w:w="2678" w:type="pct"/>
            <w:gridSpan w:val="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Прахта от пръскането с </w:t>
            </w:r>
            <w:r>
              <w:rPr>
                <w:rFonts w:ascii="Arial" w:hAnsi="Arial" w:cs="Arial"/>
                <w:sz w:val="16"/>
                <w:szCs w:val="16"/>
                <w:lang w:val="bg-BG"/>
              </w:rPr>
              <w:t>варови</w:t>
            </w:r>
            <w:r w:rsidRPr="00703017">
              <w:rPr>
                <w:rFonts w:ascii="Arial" w:hAnsi="Arial" w:cs="Arial"/>
                <w:sz w:val="16"/>
                <w:szCs w:val="16"/>
                <w:lang w:val="bg-BG"/>
              </w:rPr>
              <w:t xml:space="preserve"> вещества не може да се изключи, освен ако не се носят защитни очила. След инцидентна експозиция се препоръчва бърза промивка с вода и търсене на медицинска помощ.</w:t>
            </w:r>
          </w:p>
        </w:tc>
      </w:tr>
      <w:tr w:rsidR="008D6E9B" w:rsidRPr="0070774F">
        <w:trPr>
          <w:cantSplit/>
          <w:jc w:val="center"/>
        </w:trPr>
        <w:tc>
          <w:tcPr>
            <w:tcW w:w="870" w:type="pct"/>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Раздразнение (градинска вар)</w:t>
            </w:r>
          </w:p>
        </w:tc>
        <w:tc>
          <w:tcPr>
            <w:tcW w:w="1451" w:type="pct"/>
            <w:gridSpan w:val="9"/>
            <w:vAlign w:val="center"/>
          </w:tcPr>
          <w:p w:rsidR="008D6E9B" w:rsidRPr="00703017" w:rsidRDefault="008D6E9B" w:rsidP="00E72338">
            <w:pPr>
              <w:spacing w:line="240" w:lineRule="auto"/>
              <w:rPr>
                <w:rFonts w:ascii="Arial" w:hAnsi="Arial" w:cs="Arial"/>
                <w:sz w:val="16"/>
                <w:szCs w:val="16"/>
                <w:lang w:val="bg-BG"/>
              </w:rPr>
            </w:pPr>
            <w:r>
              <w:rPr>
                <w:rFonts w:ascii="Arial" w:hAnsi="Arial" w:cs="Arial"/>
                <w:sz w:val="16"/>
                <w:szCs w:val="16"/>
                <w:lang w:val="bg-BG"/>
              </w:rPr>
              <w:t>Малка задача: 12 µg/m³ (0</w:t>
            </w:r>
            <w:r w:rsidRPr="00373998">
              <w:rPr>
                <w:rFonts w:ascii="Arial" w:hAnsi="Arial" w:cs="Arial"/>
                <w:sz w:val="16"/>
                <w:szCs w:val="16"/>
                <w:lang w:val="bg-BG"/>
              </w:rPr>
              <w:t>,</w:t>
            </w:r>
            <w:r w:rsidRPr="00703017">
              <w:rPr>
                <w:rFonts w:ascii="Arial" w:hAnsi="Arial" w:cs="Arial"/>
                <w:sz w:val="16"/>
                <w:szCs w:val="16"/>
                <w:lang w:val="bg-BG"/>
              </w:rPr>
              <w:t>0012)</w:t>
            </w:r>
          </w:p>
          <w:p w:rsidR="008D6E9B" w:rsidRPr="00703017" w:rsidRDefault="008D6E9B" w:rsidP="00373998">
            <w:pPr>
              <w:spacing w:line="240" w:lineRule="auto"/>
              <w:rPr>
                <w:rFonts w:ascii="Arial" w:hAnsi="Arial" w:cs="Arial"/>
                <w:sz w:val="16"/>
                <w:szCs w:val="16"/>
                <w:lang w:val="bg-BG"/>
              </w:rPr>
            </w:pPr>
            <w:r>
              <w:rPr>
                <w:rFonts w:ascii="Arial" w:hAnsi="Arial" w:cs="Arial"/>
                <w:sz w:val="16"/>
                <w:szCs w:val="16"/>
                <w:lang w:val="bg-BG"/>
              </w:rPr>
              <w:t>Голяма задача: 120 µg/m³ (0</w:t>
            </w:r>
            <w:r w:rsidRPr="00373998">
              <w:rPr>
                <w:rFonts w:ascii="Arial" w:hAnsi="Arial" w:cs="Arial"/>
                <w:sz w:val="16"/>
                <w:szCs w:val="16"/>
                <w:lang w:val="bg-BG"/>
              </w:rPr>
              <w:t>,</w:t>
            </w:r>
            <w:r w:rsidRPr="00703017">
              <w:rPr>
                <w:rFonts w:ascii="Arial" w:hAnsi="Arial" w:cs="Arial"/>
                <w:sz w:val="16"/>
                <w:szCs w:val="16"/>
                <w:lang w:val="bg-BG"/>
              </w:rPr>
              <w:t>012)</w:t>
            </w:r>
          </w:p>
        </w:tc>
        <w:tc>
          <w:tcPr>
            <w:tcW w:w="2678" w:type="pct"/>
            <w:gridSpan w:val="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Количествена оценка</w:t>
            </w:r>
          </w:p>
          <w:p w:rsidR="008D6E9B" w:rsidRPr="00703017" w:rsidRDefault="008D6E9B" w:rsidP="00E72338">
            <w:pPr>
              <w:spacing w:line="240" w:lineRule="auto"/>
              <w:rPr>
                <w:rFonts w:ascii="Arial" w:hAnsi="Arial" w:cs="Arial"/>
                <w:sz w:val="16"/>
                <w:szCs w:val="16"/>
                <w:lang w:val="bg-BG" w:eastAsia="de-DE"/>
              </w:rPr>
            </w:pPr>
            <w:r w:rsidRPr="00703017">
              <w:rPr>
                <w:rFonts w:ascii="Arial" w:hAnsi="Arial" w:cs="Arial"/>
                <w:sz w:val="16"/>
                <w:szCs w:val="16"/>
                <w:lang w:val="bg-BG"/>
              </w:rPr>
              <w:t>Не съществува модел, който да описва прилагането на прахообразно вещество с лопата/ръка, затова прочетете от модела за формиране на прах, където изсипване на прахообразно вещество се разглежда като най-лошия случай.</w:t>
            </w:r>
          </w:p>
          <w:p w:rsidR="008D6E9B" w:rsidRPr="00703017" w:rsidRDefault="008D6E9B" w:rsidP="00E72338">
            <w:pPr>
              <w:spacing w:line="240" w:lineRule="auto"/>
              <w:rPr>
                <w:rFonts w:ascii="Arial" w:hAnsi="Arial" w:cs="Arial"/>
                <w:sz w:val="16"/>
                <w:szCs w:val="16"/>
                <w:lang w:val="bg-BG" w:eastAsia="de-DE"/>
              </w:rPr>
            </w:pPr>
            <w:r w:rsidRPr="00703017">
              <w:rPr>
                <w:rFonts w:ascii="Arial" w:hAnsi="Arial" w:cs="Arial"/>
                <w:sz w:val="16"/>
                <w:szCs w:val="16"/>
                <w:lang w:val="bg-BG"/>
              </w:rPr>
              <w:t>Формирането на прах при изсипване е предмет на холандския модел (van Hemmen, 1992, както е описан в Раздел 9.0.3.1 по-горе).</w:t>
            </w:r>
          </w:p>
        </w:tc>
      </w:tr>
      <w:tr w:rsidR="008D6E9B" w:rsidRPr="0070774F">
        <w:trPr>
          <w:cantSplit/>
          <w:jc w:val="center"/>
        </w:trPr>
        <w:tc>
          <w:tcPr>
            <w:tcW w:w="870" w:type="pct"/>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Вдишване (тор)</w:t>
            </w:r>
          </w:p>
        </w:tc>
        <w:tc>
          <w:tcPr>
            <w:tcW w:w="1451" w:type="pct"/>
            <w:gridSpan w:val="9"/>
            <w:vAlign w:val="center"/>
          </w:tcPr>
          <w:p w:rsidR="008D6E9B" w:rsidRPr="00703017" w:rsidRDefault="008D6E9B" w:rsidP="00E72338">
            <w:pPr>
              <w:spacing w:line="240" w:lineRule="auto"/>
              <w:rPr>
                <w:rFonts w:ascii="Arial" w:hAnsi="Arial" w:cs="Arial"/>
                <w:sz w:val="16"/>
                <w:szCs w:val="16"/>
                <w:lang w:val="bg-BG"/>
              </w:rPr>
            </w:pPr>
            <w:r>
              <w:rPr>
                <w:rFonts w:ascii="Arial" w:hAnsi="Arial" w:cs="Arial"/>
                <w:sz w:val="16"/>
                <w:szCs w:val="16"/>
                <w:lang w:val="bg-BG"/>
              </w:rPr>
              <w:t>Малка задача: 0</w:t>
            </w:r>
            <w:r w:rsidRPr="00373998">
              <w:rPr>
                <w:rFonts w:ascii="Arial" w:hAnsi="Arial" w:cs="Arial"/>
                <w:sz w:val="16"/>
                <w:szCs w:val="16"/>
                <w:lang w:val="bg-BG"/>
              </w:rPr>
              <w:t>,</w:t>
            </w:r>
            <w:r>
              <w:rPr>
                <w:rFonts w:ascii="Arial" w:hAnsi="Arial" w:cs="Arial"/>
                <w:sz w:val="16"/>
                <w:szCs w:val="16"/>
                <w:lang w:val="bg-BG"/>
              </w:rPr>
              <w:t>24 µg/m³</w:t>
            </w:r>
            <w:r w:rsidRPr="00EA5B17">
              <w:rPr>
                <w:rFonts w:ascii="Arial" w:hAnsi="Arial" w:cs="Arial"/>
                <w:sz w:val="16"/>
                <w:szCs w:val="16"/>
                <w:lang w:val="bg-BG"/>
              </w:rPr>
              <w:br/>
            </w:r>
            <w:r>
              <w:rPr>
                <w:rFonts w:ascii="Arial" w:hAnsi="Arial" w:cs="Arial"/>
                <w:sz w:val="16"/>
                <w:szCs w:val="16"/>
                <w:lang w:val="bg-BG"/>
              </w:rPr>
              <w:t>(2</w:t>
            </w:r>
            <w:r w:rsidRPr="00373998">
              <w:rPr>
                <w:rFonts w:ascii="Arial" w:hAnsi="Arial" w:cs="Arial"/>
                <w:sz w:val="16"/>
                <w:szCs w:val="16"/>
                <w:lang w:val="bg-BG"/>
              </w:rPr>
              <w:t>,</w:t>
            </w:r>
            <w:r w:rsidRPr="00703017">
              <w:rPr>
                <w:rFonts w:ascii="Arial" w:hAnsi="Arial" w:cs="Arial"/>
                <w:sz w:val="16"/>
                <w:szCs w:val="16"/>
                <w:lang w:val="bg-BG"/>
              </w:rPr>
              <w:t>4 * 10</w:t>
            </w:r>
            <w:r w:rsidRPr="00703017">
              <w:rPr>
                <w:rFonts w:ascii="Arial" w:hAnsi="Arial" w:cs="Arial"/>
                <w:sz w:val="16"/>
                <w:szCs w:val="16"/>
                <w:vertAlign w:val="superscript"/>
                <w:lang w:val="bg-BG"/>
              </w:rPr>
              <w:t>-4</w:t>
            </w:r>
            <w:r w:rsidRPr="00703017">
              <w:rPr>
                <w:rFonts w:ascii="Arial" w:hAnsi="Arial" w:cs="Arial"/>
                <w:sz w:val="16"/>
                <w:szCs w:val="16"/>
                <w:lang w:val="bg-BG"/>
              </w:rPr>
              <w:t>)</w:t>
            </w:r>
          </w:p>
          <w:p w:rsidR="008D6E9B" w:rsidRPr="00703017" w:rsidRDefault="008D6E9B" w:rsidP="00E72338">
            <w:pPr>
              <w:spacing w:line="240" w:lineRule="auto"/>
              <w:rPr>
                <w:rFonts w:ascii="Arial" w:hAnsi="Arial" w:cs="Arial"/>
                <w:sz w:val="16"/>
                <w:szCs w:val="16"/>
                <w:lang w:val="bg-BG"/>
              </w:rPr>
            </w:pPr>
            <w:r>
              <w:rPr>
                <w:rFonts w:ascii="Arial" w:hAnsi="Arial" w:cs="Arial"/>
                <w:sz w:val="16"/>
                <w:szCs w:val="16"/>
                <w:lang w:val="bg-BG"/>
              </w:rPr>
              <w:t>Голяма задача: 2</w:t>
            </w:r>
            <w:r w:rsidRPr="00373998">
              <w:rPr>
                <w:rFonts w:ascii="Arial" w:hAnsi="Arial" w:cs="Arial"/>
                <w:sz w:val="16"/>
                <w:szCs w:val="16"/>
                <w:lang w:val="bg-BG"/>
              </w:rPr>
              <w:t>,</w:t>
            </w:r>
            <w:r>
              <w:rPr>
                <w:rFonts w:ascii="Arial" w:hAnsi="Arial" w:cs="Arial"/>
                <w:sz w:val="16"/>
                <w:szCs w:val="16"/>
                <w:lang w:val="bg-BG"/>
              </w:rPr>
              <w:t>4 µg/m³ (0</w:t>
            </w:r>
            <w:r w:rsidRPr="00373998">
              <w:rPr>
                <w:rFonts w:ascii="Arial" w:hAnsi="Arial" w:cs="Arial"/>
                <w:sz w:val="16"/>
                <w:szCs w:val="16"/>
                <w:lang w:val="bg-BG"/>
              </w:rPr>
              <w:t>,</w:t>
            </w:r>
            <w:r w:rsidRPr="00703017">
              <w:rPr>
                <w:rFonts w:ascii="Arial" w:hAnsi="Arial" w:cs="Arial"/>
                <w:sz w:val="16"/>
                <w:szCs w:val="16"/>
                <w:lang w:val="bg-BG"/>
              </w:rPr>
              <w:t>0024)</w:t>
            </w:r>
          </w:p>
        </w:tc>
        <w:tc>
          <w:tcPr>
            <w:tcW w:w="2678" w:type="pct"/>
            <w:gridSpan w:val="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Количествена оценка</w:t>
            </w:r>
          </w:p>
          <w:p w:rsidR="008D6E9B" w:rsidRPr="00703017" w:rsidRDefault="008D6E9B" w:rsidP="00E72338">
            <w:pPr>
              <w:spacing w:line="240" w:lineRule="auto"/>
              <w:rPr>
                <w:rFonts w:ascii="Arial" w:hAnsi="Arial" w:cs="Arial"/>
                <w:sz w:val="16"/>
                <w:szCs w:val="16"/>
                <w:lang w:val="bg-BG" w:eastAsia="de-DE"/>
              </w:rPr>
            </w:pPr>
            <w:r w:rsidRPr="00703017">
              <w:rPr>
                <w:rFonts w:ascii="Arial" w:hAnsi="Arial" w:cs="Arial"/>
                <w:sz w:val="16"/>
                <w:szCs w:val="16"/>
                <w:lang w:val="bg-BG"/>
              </w:rPr>
              <w:t>Не съществува модел, който да описва прилагането на прахообразно вещество с лопата/ръка, прочетете от модела за формиране на прах, където изсипване на прахообразно вещество се разглежда като най-лошия случай.</w:t>
            </w:r>
          </w:p>
          <w:p w:rsidR="008D6E9B" w:rsidRPr="00703017" w:rsidRDefault="008D6E9B" w:rsidP="00E72338">
            <w:pPr>
              <w:spacing w:line="240" w:lineRule="auto"/>
              <w:rPr>
                <w:rFonts w:ascii="Arial" w:hAnsi="Arial" w:cs="Arial"/>
                <w:sz w:val="16"/>
                <w:szCs w:val="16"/>
                <w:lang w:val="bg-BG" w:eastAsia="de-DE"/>
              </w:rPr>
            </w:pPr>
            <w:r w:rsidRPr="00703017">
              <w:rPr>
                <w:rFonts w:ascii="Arial" w:hAnsi="Arial" w:cs="Arial"/>
                <w:sz w:val="16"/>
                <w:szCs w:val="16"/>
                <w:lang w:val="bg-BG"/>
              </w:rPr>
              <w:t xml:space="preserve">Формирането на прах при изсипване на прахообразното вещество се адресира чрез използване на Холандския модел (van Hemmen, 1992, както е описан в Раздел 9.0.3.1 по-горе) и прилагане на фактор за редуциране на праха 10 за грануларната форма и фактор 5 за намаленото количество вар в тора. </w:t>
            </w:r>
          </w:p>
        </w:tc>
      </w:tr>
      <w:tr w:rsidR="008D6E9B" w:rsidRPr="00703017">
        <w:trPr>
          <w:cantSplit/>
          <w:jc w:val="center"/>
        </w:trPr>
        <w:tc>
          <w:tcPr>
            <w:tcW w:w="5000" w:type="pct"/>
            <w:gridSpan w:val="18"/>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След прилагането</w:t>
            </w:r>
          </w:p>
        </w:tc>
      </w:tr>
      <w:tr w:rsidR="008D6E9B" w:rsidRPr="0070774F">
        <w:trPr>
          <w:cantSplit/>
          <w:jc w:val="center"/>
        </w:trPr>
        <w:tc>
          <w:tcPr>
            <w:tcW w:w="5000" w:type="pct"/>
            <w:gridSpan w:val="1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Според PSD (Дирекцията за безопасна употреба на пестициди на Великобритания, сега наричана CRD), следапликационната експозиция трябва да се адресира за продукти, които се използват в паркове и за непрофесионалните продукти за третиране на ливадите и растенията в частните градини. В този случай, трябва да се адресира експозицията на деца, които може да имат достъп до съответните зони скоро след третирането им. Американският модел EPA предвижда постапликационна експозиция на продукти, използвани в частните градини (напр. ливади), на непроходили деца върху третираните площи и по оралния път, от ръката в устата. </w:t>
            </w:r>
          </w:p>
          <w:p w:rsidR="008D6E9B" w:rsidRPr="00703017" w:rsidRDefault="008D6E9B" w:rsidP="00E72338">
            <w:pPr>
              <w:spacing w:line="240" w:lineRule="auto"/>
              <w:rPr>
                <w:rFonts w:ascii="Arial" w:hAnsi="Arial" w:cs="Arial"/>
                <w:sz w:val="16"/>
                <w:szCs w:val="16"/>
                <w:lang w:val="bg-BG"/>
              </w:rPr>
            </w:pP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Градинската вар или тор, съдържаща вар, се използва за третиране на кисели почви. Следователно, след прилагането към почвата и последващо напояване, рисковият ефект на варта (алкалност) бързо ще се неутрализира. Експозицията на </w:t>
            </w:r>
            <w:r>
              <w:rPr>
                <w:rFonts w:ascii="Arial" w:hAnsi="Arial" w:cs="Arial"/>
                <w:sz w:val="16"/>
                <w:szCs w:val="16"/>
                <w:lang w:val="bg-BG"/>
              </w:rPr>
              <w:t>варови</w:t>
            </w:r>
            <w:r w:rsidRPr="00703017">
              <w:rPr>
                <w:rFonts w:ascii="Arial" w:hAnsi="Arial" w:cs="Arial"/>
                <w:sz w:val="16"/>
                <w:szCs w:val="16"/>
                <w:lang w:val="bg-BG"/>
              </w:rPr>
              <w:t xml:space="preserve"> вещества в много скоро време след прилагането ще стане незначителна. </w:t>
            </w:r>
          </w:p>
        </w:tc>
      </w:tr>
      <w:tr w:rsidR="008D6E9B" w:rsidRPr="00703017">
        <w:trPr>
          <w:cantSplit/>
          <w:jc w:val="center"/>
        </w:trPr>
        <w:tc>
          <w:tcPr>
            <w:tcW w:w="5000" w:type="pct"/>
            <w:gridSpan w:val="18"/>
            <w:shd w:val="clear" w:color="auto" w:fill="BFBFBF"/>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Експозиция за околната среда</w:t>
            </w:r>
          </w:p>
        </w:tc>
      </w:tr>
      <w:tr w:rsidR="008D6E9B" w:rsidRPr="00703017">
        <w:trPr>
          <w:cantSplit/>
          <w:jc w:val="center"/>
        </w:trPr>
        <w:tc>
          <w:tcPr>
            <w:tcW w:w="5000" w:type="pct"/>
            <w:gridSpan w:val="18"/>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Не се извършва количествена оценка на експозицията за околната среда, защото работните условия и мерките за управление на риска за потребителя не са толкова строги, както при професионалната селскостопанска защита на почвата. Нещо повече, неутрализацията/pH-ефектът са търсени и желани в почвения компонент. Не се очакват отделяния в отходните води.</w:t>
            </w:r>
          </w:p>
        </w:tc>
      </w:tr>
    </w:tbl>
    <w:p w:rsidR="008D6E9B" w:rsidRPr="00703017" w:rsidRDefault="008D6E9B" w:rsidP="009C64DB">
      <w:pPr>
        <w:rPr>
          <w:lang w:val="bg-BG"/>
        </w:rPr>
      </w:pPr>
    </w:p>
    <w:p w:rsidR="008D6E9B" w:rsidRPr="00703017" w:rsidRDefault="008D6E9B" w:rsidP="009C64DB">
      <w:pPr>
        <w:keepNext/>
        <w:pageBreakBefore/>
        <w:tabs>
          <w:tab w:val="left" w:pos="1418"/>
        </w:tabs>
        <w:spacing w:before="240" w:after="60"/>
        <w:jc w:val="both"/>
        <w:outlineLvl w:val="1"/>
        <w:rPr>
          <w:rFonts w:ascii="Arial" w:hAnsi="Arial" w:cs="Arial"/>
          <w:b/>
          <w:bCs/>
          <w:sz w:val="28"/>
          <w:szCs w:val="28"/>
          <w:lang w:val="bg-BG"/>
        </w:rPr>
      </w:pPr>
      <w:bookmarkStart w:id="29" w:name="_Toc270425146"/>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15: Консумативна употреба на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 за третиране на водата</w:t>
      </w:r>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208"/>
        <w:gridCol w:w="7"/>
        <w:gridCol w:w="448"/>
        <w:gridCol w:w="263"/>
        <w:gridCol w:w="493"/>
        <w:gridCol w:w="567"/>
        <w:gridCol w:w="12"/>
        <w:gridCol w:w="22"/>
        <w:gridCol w:w="8"/>
        <w:gridCol w:w="631"/>
        <w:gridCol w:w="447"/>
        <w:gridCol w:w="613"/>
        <w:gridCol w:w="122"/>
        <w:gridCol w:w="602"/>
        <w:gridCol w:w="841"/>
        <w:gridCol w:w="362"/>
        <w:gridCol w:w="7"/>
        <w:gridCol w:w="1813"/>
      </w:tblGrid>
      <w:tr w:rsidR="008D6E9B" w:rsidRPr="0070774F">
        <w:trPr>
          <w:cantSplit/>
          <w:jc w:val="center"/>
        </w:trPr>
        <w:tc>
          <w:tcPr>
            <w:tcW w:w="9656" w:type="dxa"/>
            <w:gridSpan w:val="19"/>
            <w:shd w:val="clear" w:color="auto" w:fill="00FFFF"/>
            <w:vAlign w:val="center"/>
          </w:tcPr>
          <w:p w:rsidR="008D6E9B" w:rsidRPr="00703017" w:rsidRDefault="008D6E9B" w:rsidP="00E72338">
            <w:pPr>
              <w:rPr>
                <w:rFonts w:ascii="Arial" w:hAnsi="Arial" w:cs="Arial"/>
                <w:b/>
                <w:bCs/>
                <w:i/>
                <w:iCs/>
                <w:color w:val="0000FF"/>
                <w:sz w:val="16"/>
                <w:szCs w:val="16"/>
                <w:lang w:val="bg-BG"/>
              </w:rPr>
            </w:pPr>
            <w:r w:rsidRPr="00703017">
              <w:rPr>
                <w:rFonts w:ascii="Arial" w:hAnsi="Arial" w:cs="Arial"/>
                <w:b/>
                <w:bCs/>
                <w:sz w:val="16"/>
                <w:szCs w:val="16"/>
                <w:lang w:val="bg-BG"/>
              </w:rPr>
              <w:br w:type="page"/>
            </w:r>
            <w:r w:rsidRPr="00703017">
              <w:rPr>
                <w:rFonts w:ascii="Arial" w:hAnsi="Arial" w:cs="Arial"/>
                <w:b/>
                <w:bCs/>
                <w:i/>
                <w:iCs/>
                <w:color w:val="0000FF"/>
                <w:sz w:val="16"/>
                <w:szCs w:val="16"/>
                <w:lang w:val="bg-BG"/>
              </w:rPr>
              <w:t>Формат на сценарий на експозиция (2), посветен на начините на употреба от потребители</w:t>
            </w:r>
          </w:p>
        </w:tc>
      </w:tr>
      <w:tr w:rsidR="008D6E9B" w:rsidRPr="00703017">
        <w:trPr>
          <w:cantSplit/>
          <w:jc w:val="center"/>
        </w:trPr>
        <w:tc>
          <w:tcPr>
            <w:tcW w:w="9656" w:type="dxa"/>
            <w:gridSpan w:val="19"/>
            <w:shd w:val="clear" w:color="auto" w:fill="00FFFF"/>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1. Заглавие</w:t>
            </w:r>
          </w:p>
        </w:tc>
      </w:tr>
      <w:tr w:rsidR="008D6E9B" w:rsidRPr="0070774F">
        <w:trPr>
          <w:cantSplit/>
          <w:jc w:val="center"/>
        </w:trPr>
        <w:tc>
          <w:tcPr>
            <w:tcW w:w="3832" w:type="dxa"/>
            <w:gridSpan w:val="8"/>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Кратко свободно заглавие</w:t>
            </w:r>
          </w:p>
        </w:tc>
        <w:tc>
          <w:tcPr>
            <w:tcW w:w="5824" w:type="dxa"/>
            <w:gridSpan w:val="11"/>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Консумативна употреба на </w:t>
            </w:r>
            <w:r>
              <w:rPr>
                <w:rFonts w:ascii="Arial" w:hAnsi="Arial" w:cs="Arial"/>
                <w:sz w:val="16"/>
                <w:szCs w:val="16"/>
                <w:lang w:val="bg-BG"/>
              </w:rPr>
              <w:t>варови</w:t>
            </w:r>
            <w:r w:rsidRPr="00703017">
              <w:rPr>
                <w:rFonts w:ascii="Arial" w:hAnsi="Arial" w:cs="Arial"/>
                <w:sz w:val="16"/>
                <w:szCs w:val="16"/>
                <w:lang w:val="bg-BG"/>
              </w:rPr>
              <w:t xml:space="preserve"> вещества за третиране на водата</w:t>
            </w:r>
          </w:p>
        </w:tc>
      </w:tr>
      <w:tr w:rsidR="008D6E9B" w:rsidRPr="00703017">
        <w:trPr>
          <w:cantSplit/>
          <w:jc w:val="center"/>
        </w:trPr>
        <w:tc>
          <w:tcPr>
            <w:tcW w:w="3832" w:type="dxa"/>
            <w:gridSpan w:val="8"/>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Систематично заглавие на основата на дескриптора на употребите</w:t>
            </w:r>
          </w:p>
        </w:tc>
        <w:tc>
          <w:tcPr>
            <w:tcW w:w="5824" w:type="dxa"/>
            <w:gridSpan w:val="11"/>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SU21, PC20, PC37, ERC8b </w:t>
            </w:r>
          </w:p>
        </w:tc>
      </w:tr>
      <w:tr w:rsidR="008D6E9B" w:rsidRPr="0070774F">
        <w:trPr>
          <w:cantSplit/>
          <w:jc w:val="center"/>
        </w:trPr>
        <w:tc>
          <w:tcPr>
            <w:tcW w:w="3832" w:type="dxa"/>
            <w:gridSpan w:val="8"/>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 xml:space="preserve">Покриване процеси, задачи, дейности </w:t>
            </w:r>
          </w:p>
        </w:tc>
        <w:tc>
          <w:tcPr>
            <w:tcW w:w="5824" w:type="dxa"/>
            <w:gridSpan w:val="11"/>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Товарене, пълнене на твърди формации в </w:t>
            </w:r>
            <w:r>
              <w:rPr>
                <w:rFonts w:ascii="Arial" w:hAnsi="Arial" w:cs="Arial"/>
                <w:sz w:val="16"/>
                <w:szCs w:val="16"/>
                <w:lang w:val="bg-BG"/>
              </w:rPr>
              <w:t>контейнери/приготвяне на вар</w:t>
            </w:r>
            <w:r w:rsidRPr="00703017">
              <w:rPr>
                <w:rFonts w:ascii="Arial" w:hAnsi="Arial" w:cs="Arial"/>
                <w:sz w:val="16"/>
                <w:szCs w:val="16"/>
                <w:lang w:val="bg-BG"/>
              </w:rPr>
              <w:t>ово мляко</w:t>
            </w:r>
          </w:p>
          <w:p w:rsidR="008D6E9B" w:rsidRPr="00703017" w:rsidRDefault="008D6E9B" w:rsidP="00E72338">
            <w:pPr>
              <w:rPr>
                <w:rFonts w:ascii="Arial" w:hAnsi="Arial" w:cs="Arial"/>
                <w:sz w:val="16"/>
                <w:szCs w:val="16"/>
                <w:lang w:val="bg-BG"/>
              </w:rPr>
            </w:pPr>
            <w:r>
              <w:rPr>
                <w:rFonts w:ascii="Arial" w:hAnsi="Arial" w:cs="Arial"/>
                <w:sz w:val="16"/>
                <w:szCs w:val="16"/>
                <w:lang w:val="bg-BG"/>
              </w:rPr>
              <w:t>Прилагане на вар</w:t>
            </w:r>
            <w:r w:rsidRPr="00703017">
              <w:rPr>
                <w:rFonts w:ascii="Arial" w:hAnsi="Arial" w:cs="Arial"/>
                <w:sz w:val="16"/>
                <w:szCs w:val="16"/>
                <w:lang w:val="bg-BG"/>
              </w:rPr>
              <w:t xml:space="preserve">ово мляко към водата </w:t>
            </w:r>
          </w:p>
        </w:tc>
      </w:tr>
      <w:tr w:rsidR="008D6E9B" w:rsidRPr="0070774F">
        <w:trPr>
          <w:cantSplit/>
          <w:jc w:val="center"/>
        </w:trPr>
        <w:tc>
          <w:tcPr>
            <w:tcW w:w="3832" w:type="dxa"/>
            <w:gridSpan w:val="8"/>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Метод на оценка*</w:t>
            </w:r>
          </w:p>
        </w:tc>
        <w:tc>
          <w:tcPr>
            <w:tcW w:w="5824" w:type="dxa"/>
            <w:gridSpan w:val="11"/>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Човешкото здраве:</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Извършена е качествена оценка при орална и дермална експозиция, както и експозиция на очите. Експозицията на вдишване беше оценена по Холандския модел (van Hemmen, 1992).</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Околна среда:</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Предлага се оценка с качествена обосновка.</w:t>
            </w:r>
          </w:p>
        </w:tc>
      </w:tr>
      <w:tr w:rsidR="008D6E9B" w:rsidRPr="0070774F">
        <w:trPr>
          <w:cantSplit/>
          <w:jc w:val="center"/>
        </w:trPr>
        <w:tc>
          <w:tcPr>
            <w:tcW w:w="9656" w:type="dxa"/>
            <w:gridSpan w:val="19"/>
            <w:shd w:val="clear" w:color="auto" w:fill="00FFFF"/>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2. Работни условия и мерки за управление на риска</w:t>
            </w:r>
          </w:p>
        </w:tc>
      </w:tr>
      <w:tr w:rsidR="008D6E9B" w:rsidRPr="0070774F">
        <w:trPr>
          <w:cantSplit/>
          <w:jc w:val="center"/>
        </w:trPr>
        <w:tc>
          <w:tcPr>
            <w:tcW w:w="2408" w:type="dxa"/>
            <w:gridSpan w:val="4"/>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RMM</w:t>
            </w:r>
          </w:p>
        </w:tc>
        <w:tc>
          <w:tcPr>
            <w:tcW w:w="7248" w:type="dxa"/>
            <w:gridSpan w:val="15"/>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Не се прилагат други свързани с продукта мерки за управление на риска.</w:t>
            </w:r>
          </w:p>
        </w:tc>
      </w:tr>
      <w:tr w:rsidR="008D6E9B" w:rsidRPr="0070774F">
        <w:trPr>
          <w:cantSplit/>
          <w:jc w:val="center"/>
        </w:trPr>
        <w:tc>
          <w:tcPr>
            <w:tcW w:w="2408" w:type="dxa"/>
            <w:gridSpan w:val="4"/>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PC/ERC</w:t>
            </w:r>
          </w:p>
        </w:tc>
        <w:tc>
          <w:tcPr>
            <w:tcW w:w="7248" w:type="dxa"/>
            <w:gridSpan w:val="15"/>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Описание на дейност, свързана с категориите на изделието (AC) и категориите за отделяне в околната среда (ERC)</w:t>
            </w:r>
          </w:p>
        </w:tc>
      </w:tr>
      <w:tr w:rsidR="008D6E9B" w:rsidRPr="0070774F">
        <w:trPr>
          <w:cantSplit/>
          <w:jc w:val="center"/>
        </w:trPr>
        <w:tc>
          <w:tcPr>
            <w:tcW w:w="2408" w:type="dxa"/>
            <w:gridSpan w:val="4"/>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PC 20/37</w:t>
            </w:r>
          </w:p>
        </w:tc>
        <w:tc>
          <w:tcPr>
            <w:tcW w:w="7248" w:type="dxa"/>
            <w:gridSpan w:val="15"/>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Пълнене и повторно</w:t>
            </w:r>
            <w:r>
              <w:rPr>
                <w:rFonts w:ascii="Arial" w:hAnsi="Arial" w:cs="Arial"/>
                <w:sz w:val="16"/>
                <w:szCs w:val="16"/>
                <w:lang w:val="bg-BG"/>
              </w:rPr>
              <w:t xml:space="preserve"> зареждане (пренасяне на вар</w:t>
            </w:r>
            <w:r w:rsidRPr="00703017">
              <w:rPr>
                <w:rFonts w:ascii="Arial" w:hAnsi="Arial" w:cs="Arial"/>
                <w:sz w:val="16"/>
                <w:szCs w:val="16"/>
                <w:lang w:val="bg-BG"/>
              </w:rPr>
              <w:t>ово вещество (твърдо) от варовия реактор за третиране на водата.</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Пренасяне на </w:t>
            </w:r>
            <w:r>
              <w:rPr>
                <w:rFonts w:ascii="Arial" w:hAnsi="Arial" w:cs="Arial"/>
                <w:sz w:val="16"/>
                <w:szCs w:val="16"/>
                <w:lang w:val="bg-BG"/>
              </w:rPr>
              <w:t>варови</w:t>
            </w:r>
            <w:r w:rsidRPr="00703017">
              <w:rPr>
                <w:rFonts w:ascii="Arial" w:hAnsi="Arial" w:cs="Arial"/>
                <w:sz w:val="16"/>
                <w:szCs w:val="16"/>
                <w:lang w:val="bg-BG"/>
              </w:rPr>
              <w:t xml:space="preserve"> вещества (твърди) в контейнера за по-нататъшна употреба. </w:t>
            </w:r>
          </w:p>
          <w:p w:rsidR="008D6E9B" w:rsidRPr="00703017" w:rsidRDefault="008D6E9B" w:rsidP="00E72338">
            <w:pPr>
              <w:rPr>
                <w:rFonts w:ascii="Arial" w:hAnsi="Arial" w:cs="Arial"/>
                <w:sz w:val="16"/>
                <w:szCs w:val="16"/>
                <w:lang w:val="bg-BG"/>
              </w:rPr>
            </w:pPr>
            <w:r>
              <w:rPr>
                <w:rFonts w:ascii="Arial" w:hAnsi="Arial" w:cs="Arial"/>
                <w:sz w:val="16"/>
                <w:szCs w:val="16"/>
                <w:lang w:val="bg-BG"/>
              </w:rPr>
              <w:t>Прилагане на вар</w:t>
            </w:r>
            <w:r w:rsidRPr="00703017">
              <w:rPr>
                <w:rFonts w:ascii="Arial" w:hAnsi="Arial" w:cs="Arial"/>
                <w:sz w:val="16"/>
                <w:szCs w:val="16"/>
                <w:lang w:val="bg-BG"/>
              </w:rPr>
              <w:t>ово мляко на капки към водата.</w:t>
            </w:r>
          </w:p>
        </w:tc>
      </w:tr>
      <w:tr w:rsidR="008D6E9B" w:rsidRPr="0070774F">
        <w:trPr>
          <w:cantSplit/>
          <w:jc w:val="center"/>
        </w:trPr>
        <w:tc>
          <w:tcPr>
            <w:tcW w:w="2408" w:type="dxa"/>
            <w:gridSpan w:val="4"/>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ERC 8b</w:t>
            </w:r>
          </w:p>
        </w:tc>
        <w:tc>
          <w:tcPr>
            <w:tcW w:w="7248" w:type="dxa"/>
            <w:gridSpan w:val="15"/>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Широко разпространена употреба на закрито на химически активни вещества в отворени системи</w:t>
            </w:r>
          </w:p>
        </w:tc>
      </w:tr>
      <w:tr w:rsidR="008D6E9B" w:rsidRPr="0070774F">
        <w:trPr>
          <w:cantSplit/>
          <w:jc w:val="center"/>
        </w:trPr>
        <w:tc>
          <w:tcPr>
            <w:tcW w:w="9656" w:type="dxa"/>
            <w:gridSpan w:val="19"/>
            <w:shd w:val="clear" w:color="auto" w:fill="00FFFF"/>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highlight w:val="cyan"/>
                <w:lang w:val="bg-BG"/>
              </w:rPr>
              <w:t>2.1 Контрол на експозицията на потребителите</w:t>
            </w:r>
          </w:p>
        </w:tc>
      </w:tr>
      <w:tr w:rsidR="008D6E9B" w:rsidRPr="00703017">
        <w:trPr>
          <w:cantSplit/>
          <w:jc w:val="center"/>
        </w:trPr>
        <w:tc>
          <w:tcPr>
            <w:tcW w:w="9656" w:type="dxa"/>
            <w:gridSpan w:val="19"/>
            <w:shd w:val="clear" w:color="auto" w:fill="C0C0C0"/>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Характеристика на продукта</w:t>
            </w:r>
          </w:p>
        </w:tc>
      </w:tr>
      <w:tr w:rsidR="008D6E9B" w:rsidRPr="00703017">
        <w:trPr>
          <w:cantSplit/>
          <w:jc w:val="center"/>
        </w:trPr>
        <w:tc>
          <w:tcPr>
            <w:tcW w:w="1924" w:type="dxa"/>
            <w:gridSpan w:val="2"/>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Описание на препарата</w:t>
            </w:r>
          </w:p>
        </w:tc>
        <w:tc>
          <w:tcPr>
            <w:tcW w:w="1930" w:type="dxa"/>
            <w:gridSpan w:val="7"/>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Концентрация на веществото в препарата</w:t>
            </w:r>
          </w:p>
        </w:tc>
        <w:tc>
          <w:tcPr>
            <w:tcW w:w="1810" w:type="dxa"/>
            <w:gridSpan w:val="4"/>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Физическо състояние на препарата</w:t>
            </w:r>
          </w:p>
        </w:tc>
        <w:tc>
          <w:tcPr>
            <w:tcW w:w="2053" w:type="dxa"/>
            <w:gridSpan w:val="4"/>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Запрашеност (ако е приложимо)</w:t>
            </w:r>
          </w:p>
        </w:tc>
        <w:tc>
          <w:tcPr>
            <w:tcW w:w="1939" w:type="dxa"/>
            <w:gridSpan w:val="2"/>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Дизайн на опаковката</w:t>
            </w:r>
          </w:p>
        </w:tc>
      </w:tr>
      <w:tr w:rsidR="008D6E9B" w:rsidRPr="0070774F">
        <w:trPr>
          <w:cantSplit/>
          <w:jc w:val="center"/>
        </w:trPr>
        <w:tc>
          <w:tcPr>
            <w:tcW w:w="1924" w:type="dxa"/>
            <w:gridSpan w:val="2"/>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Химикали за третиране на водата </w:t>
            </w:r>
          </w:p>
        </w:tc>
        <w:tc>
          <w:tcPr>
            <w:tcW w:w="1930" w:type="dxa"/>
            <w:gridSpan w:val="7"/>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До 100 %</w:t>
            </w:r>
          </w:p>
        </w:tc>
        <w:tc>
          <w:tcPr>
            <w:tcW w:w="1810" w:type="dxa"/>
            <w:gridSpan w:val="4"/>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Твърдо/на фин прах</w:t>
            </w:r>
          </w:p>
        </w:tc>
        <w:tc>
          <w:tcPr>
            <w:tcW w:w="2053" w:type="dxa"/>
            <w:gridSpan w:val="4"/>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силна запрашеност</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(индикативни стойност от описанието на </w:t>
            </w:r>
            <w:r>
              <w:rPr>
                <w:rFonts w:ascii="Arial" w:hAnsi="Arial" w:cs="Arial"/>
                <w:sz w:val="16"/>
                <w:szCs w:val="16"/>
                <w:lang w:val="bg-BG"/>
              </w:rPr>
              <w:t>„</w:t>
            </w:r>
            <w:r w:rsidRPr="00703017">
              <w:rPr>
                <w:rFonts w:ascii="Arial" w:hAnsi="Arial" w:cs="Arial"/>
                <w:sz w:val="16"/>
                <w:szCs w:val="16"/>
                <w:lang w:val="bg-BG"/>
              </w:rPr>
              <w:t>Направи си сам</w:t>
            </w:r>
            <w:r>
              <w:rPr>
                <w:rFonts w:ascii="Arial" w:hAnsi="Arial" w:cs="Arial"/>
                <w:sz w:val="16"/>
                <w:szCs w:val="16"/>
                <w:lang w:val="bg-BG"/>
              </w:rPr>
              <w:t>“</w:t>
            </w:r>
            <w:r w:rsidRPr="00703017">
              <w:rPr>
                <w:rFonts w:ascii="Arial" w:hAnsi="Arial" w:cs="Arial"/>
                <w:sz w:val="16"/>
                <w:szCs w:val="16"/>
                <w:lang w:val="bg-BG"/>
              </w:rPr>
              <w:t xml:space="preserve"> вижте в Раздел 9.0.3)</w:t>
            </w:r>
          </w:p>
        </w:tc>
        <w:tc>
          <w:tcPr>
            <w:tcW w:w="1939" w:type="dxa"/>
            <w:gridSpan w:val="2"/>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Насипно в торби и кофи/контейнери.</w:t>
            </w:r>
          </w:p>
        </w:tc>
      </w:tr>
      <w:tr w:rsidR="008D6E9B" w:rsidRPr="0070774F">
        <w:trPr>
          <w:cantSplit/>
          <w:jc w:val="center"/>
        </w:trPr>
        <w:tc>
          <w:tcPr>
            <w:tcW w:w="1924" w:type="dxa"/>
            <w:gridSpan w:val="2"/>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Химикали за третиране на водата </w:t>
            </w:r>
          </w:p>
        </w:tc>
        <w:tc>
          <w:tcPr>
            <w:tcW w:w="1930" w:type="dxa"/>
            <w:gridSpan w:val="7"/>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До 99 %</w:t>
            </w:r>
          </w:p>
        </w:tc>
        <w:tc>
          <w:tcPr>
            <w:tcW w:w="1810" w:type="dxa"/>
            <w:gridSpan w:val="4"/>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Твърдо, гранулирано с различен размер</w:t>
            </w:r>
          </w:p>
          <w:p w:rsidR="008D6E9B" w:rsidRPr="00703017" w:rsidRDefault="008D6E9B" w:rsidP="00E72338">
            <w:pPr>
              <w:rPr>
                <w:rFonts w:ascii="Arial" w:hAnsi="Arial" w:cs="Arial"/>
                <w:sz w:val="16"/>
                <w:szCs w:val="16"/>
                <w:lang w:val="bg-BG"/>
              </w:rPr>
            </w:pPr>
            <w:r>
              <w:rPr>
                <w:rFonts w:ascii="Arial" w:hAnsi="Arial" w:cs="Arial"/>
                <w:sz w:val="16"/>
                <w:szCs w:val="16"/>
                <w:lang w:val="bg-BG"/>
              </w:rPr>
              <w:t>(D50 стойност 0</w:t>
            </w:r>
            <w:r w:rsidRPr="00373998">
              <w:rPr>
                <w:rFonts w:ascii="Arial" w:hAnsi="Arial" w:cs="Arial"/>
                <w:sz w:val="16"/>
                <w:szCs w:val="16"/>
                <w:lang w:val="bg-BG"/>
              </w:rPr>
              <w:t>,</w:t>
            </w:r>
            <w:r w:rsidRPr="00703017">
              <w:rPr>
                <w:rFonts w:ascii="Arial" w:hAnsi="Arial" w:cs="Arial"/>
                <w:sz w:val="16"/>
                <w:szCs w:val="16"/>
                <w:lang w:val="bg-BG"/>
              </w:rPr>
              <w:t>7</w:t>
            </w:r>
          </w:p>
          <w:p w:rsidR="008D6E9B" w:rsidRPr="00703017" w:rsidRDefault="008D6E9B" w:rsidP="00E72338">
            <w:pPr>
              <w:rPr>
                <w:rFonts w:ascii="Arial" w:hAnsi="Arial" w:cs="Arial"/>
                <w:sz w:val="16"/>
                <w:szCs w:val="16"/>
                <w:lang w:val="bg-BG"/>
              </w:rPr>
            </w:pPr>
            <w:r>
              <w:rPr>
                <w:rFonts w:ascii="Arial" w:hAnsi="Arial" w:cs="Arial"/>
                <w:sz w:val="16"/>
                <w:szCs w:val="16"/>
                <w:lang w:val="bg-BG"/>
              </w:rPr>
              <w:t>D50 стойност 1</w:t>
            </w:r>
            <w:r w:rsidRPr="00373998">
              <w:rPr>
                <w:rFonts w:ascii="Arial" w:hAnsi="Arial" w:cs="Arial"/>
                <w:sz w:val="16"/>
                <w:szCs w:val="16"/>
                <w:lang w:val="bg-BG"/>
              </w:rPr>
              <w:t>,</w:t>
            </w:r>
            <w:r w:rsidRPr="00703017">
              <w:rPr>
                <w:rFonts w:ascii="Arial" w:hAnsi="Arial" w:cs="Arial"/>
                <w:sz w:val="16"/>
                <w:szCs w:val="16"/>
                <w:lang w:val="bg-BG"/>
              </w:rPr>
              <w:t>75</w:t>
            </w:r>
          </w:p>
          <w:p w:rsidR="008D6E9B" w:rsidRPr="00703017" w:rsidRDefault="008D6E9B" w:rsidP="00E72338">
            <w:pPr>
              <w:rPr>
                <w:rFonts w:ascii="Arial" w:hAnsi="Arial" w:cs="Arial"/>
                <w:sz w:val="16"/>
                <w:szCs w:val="16"/>
                <w:lang w:val="bg-BG"/>
              </w:rPr>
            </w:pPr>
            <w:r>
              <w:rPr>
                <w:rFonts w:ascii="Arial" w:hAnsi="Arial" w:cs="Arial"/>
                <w:sz w:val="16"/>
                <w:szCs w:val="16"/>
                <w:lang w:val="bg-BG"/>
              </w:rPr>
              <w:t>D50 стойност 3</w:t>
            </w:r>
            <w:r>
              <w:rPr>
                <w:rFonts w:ascii="Arial" w:hAnsi="Arial" w:cs="Arial"/>
                <w:sz w:val="16"/>
                <w:szCs w:val="16"/>
                <w:lang w:val="de-DE"/>
              </w:rPr>
              <w:t>,</w:t>
            </w:r>
            <w:r w:rsidRPr="00703017">
              <w:rPr>
                <w:rFonts w:ascii="Arial" w:hAnsi="Arial" w:cs="Arial"/>
                <w:sz w:val="16"/>
                <w:szCs w:val="16"/>
                <w:lang w:val="bg-BG"/>
              </w:rPr>
              <w:t>08)</w:t>
            </w:r>
          </w:p>
        </w:tc>
        <w:tc>
          <w:tcPr>
            <w:tcW w:w="2053" w:type="dxa"/>
            <w:gridSpan w:val="4"/>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слаба запрашеност </w:t>
            </w:r>
            <w:r w:rsidRPr="00703017">
              <w:rPr>
                <w:lang w:val="bg-BG"/>
              </w:rPr>
              <w:br/>
            </w:r>
            <w:r w:rsidRPr="00703017">
              <w:rPr>
                <w:rFonts w:ascii="Arial" w:hAnsi="Arial" w:cs="Arial"/>
                <w:sz w:val="16"/>
                <w:szCs w:val="16"/>
                <w:lang w:val="bg-BG"/>
              </w:rPr>
              <w:t>(с 10% по-малко отколкото прахообразния)</w:t>
            </w:r>
          </w:p>
        </w:tc>
        <w:tc>
          <w:tcPr>
            <w:tcW w:w="1939" w:type="dxa"/>
            <w:gridSpan w:val="2"/>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Камиони-цистерни или </w:t>
            </w:r>
            <w:r>
              <w:rPr>
                <w:rFonts w:ascii="Arial" w:hAnsi="Arial" w:cs="Arial"/>
                <w:sz w:val="16"/>
                <w:szCs w:val="16"/>
                <w:lang w:val="bg-BG"/>
              </w:rPr>
              <w:t>„</w:t>
            </w:r>
            <w:r w:rsidRPr="00703017">
              <w:rPr>
                <w:rFonts w:ascii="Arial" w:hAnsi="Arial" w:cs="Arial"/>
                <w:sz w:val="16"/>
                <w:szCs w:val="16"/>
                <w:lang w:val="bg-BG"/>
              </w:rPr>
              <w:t>големи торби</w:t>
            </w:r>
            <w:r>
              <w:rPr>
                <w:rFonts w:ascii="Arial" w:hAnsi="Arial" w:cs="Arial"/>
                <w:sz w:val="16"/>
                <w:szCs w:val="16"/>
                <w:lang w:val="bg-BG"/>
              </w:rPr>
              <w:t>“</w:t>
            </w:r>
            <w:r w:rsidRPr="00703017">
              <w:rPr>
                <w:rFonts w:ascii="Arial" w:hAnsi="Arial" w:cs="Arial"/>
                <w:sz w:val="16"/>
                <w:szCs w:val="16"/>
                <w:lang w:val="bg-BG"/>
              </w:rPr>
              <w:t xml:space="preserve"> или чували</w:t>
            </w:r>
          </w:p>
        </w:tc>
      </w:tr>
      <w:tr w:rsidR="008D6E9B" w:rsidRPr="00703017">
        <w:trPr>
          <w:cantSplit/>
          <w:jc w:val="center"/>
        </w:trPr>
        <w:tc>
          <w:tcPr>
            <w:tcW w:w="9656" w:type="dxa"/>
            <w:gridSpan w:val="19"/>
            <w:shd w:val="clear" w:color="auto" w:fill="C0C0C0"/>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Използвани количества</w:t>
            </w:r>
          </w:p>
        </w:tc>
      </w:tr>
      <w:tr w:rsidR="008D6E9B" w:rsidRPr="00703017">
        <w:trPr>
          <w:cantSplit/>
          <w:jc w:val="center"/>
        </w:trPr>
        <w:tc>
          <w:tcPr>
            <w:tcW w:w="3820" w:type="dxa"/>
            <w:gridSpan w:val="7"/>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Описание на препарата</w:t>
            </w:r>
          </w:p>
        </w:tc>
        <w:tc>
          <w:tcPr>
            <w:tcW w:w="5836" w:type="dxa"/>
            <w:gridSpan w:val="12"/>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Количество за еднократна употреба</w:t>
            </w:r>
          </w:p>
        </w:tc>
      </w:tr>
      <w:tr w:rsidR="008D6E9B" w:rsidRPr="0070774F">
        <w:trPr>
          <w:cantSplit/>
          <w:jc w:val="center"/>
        </w:trPr>
        <w:tc>
          <w:tcPr>
            <w:tcW w:w="3820" w:type="dxa"/>
            <w:gridSpan w:val="7"/>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Химикали за третиране на водата във </w:t>
            </w:r>
            <w:r>
              <w:rPr>
                <w:rFonts w:ascii="Arial" w:hAnsi="Arial" w:cs="Arial"/>
                <w:sz w:val="16"/>
                <w:szCs w:val="16"/>
                <w:lang w:val="bg-BG"/>
              </w:rPr>
              <w:t>варови</w:t>
            </w:r>
            <w:r w:rsidRPr="00703017">
              <w:rPr>
                <w:rFonts w:ascii="Arial" w:hAnsi="Arial" w:cs="Arial"/>
                <w:sz w:val="16"/>
                <w:szCs w:val="16"/>
                <w:lang w:val="bg-BG"/>
              </w:rPr>
              <w:t xml:space="preserve"> реактори за аквариуми</w:t>
            </w:r>
          </w:p>
        </w:tc>
        <w:tc>
          <w:tcPr>
            <w:tcW w:w="5836" w:type="dxa"/>
            <w:gridSpan w:val="12"/>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в зависимост от размера на водния реактор, който се запълва (~ 100g /L)</w:t>
            </w:r>
          </w:p>
        </w:tc>
      </w:tr>
      <w:tr w:rsidR="008D6E9B" w:rsidRPr="0070774F">
        <w:trPr>
          <w:cantSplit/>
          <w:jc w:val="center"/>
        </w:trPr>
        <w:tc>
          <w:tcPr>
            <w:tcW w:w="3820" w:type="dxa"/>
            <w:gridSpan w:val="7"/>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Химикали за третиране на водата във </w:t>
            </w:r>
            <w:r>
              <w:rPr>
                <w:rFonts w:ascii="Arial" w:hAnsi="Arial" w:cs="Arial"/>
                <w:sz w:val="16"/>
                <w:szCs w:val="16"/>
                <w:lang w:val="bg-BG"/>
              </w:rPr>
              <w:t>варови</w:t>
            </w:r>
            <w:r w:rsidRPr="00703017">
              <w:rPr>
                <w:rFonts w:ascii="Arial" w:hAnsi="Arial" w:cs="Arial"/>
                <w:sz w:val="16"/>
                <w:szCs w:val="16"/>
                <w:lang w:val="bg-BG"/>
              </w:rPr>
              <w:t xml:space="preserve"> реактори за питейна вода</w:t>
            </w:r>
          </w:p>
        </w:tc>
        <w:tc>
          <w:tcPr>
            <w:tcW w:w="5836" w:type="dxa"/>
            <w:gridSpan w:val="12"/>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в зависимост от размера на водния реактор, който се запълва (~до 1,2 kg /L)</w:t>
            </w:r>
          </w:p>
        </w:tc>
      </w:tr>
      <w:tr w:rsidR="008D6E9B" w:rsidRPr="00703017">
        <w:trPr>
          <w:cantSplit/>
          <w:jc w:val="center"/>
        </w:trPr>
        <w:tc>
          <w:tcPr>
            <w:tcW w:w="3820" w:type="dxa"/>
            <w:gridSpan w:val="7"/>
            <w:vAlign w:val="center"/>
          </w:tcPr>
          <w:p w:rsidR="008D6E9B" w:rsidRPr="00703017" w:rsidRDefault="008D6E9B" w:rsidP="00E72338">
            <w:pPr>
              <w:rPr>
                <w:rFonts w:ascii="Arial" w:hAnsi="Arial" w:cs="Arial"/>
                <w:sz w:val="16"/>
                <w:szCs w:val="16"/>
                <w:lang w:val="bg-BG"/>
              </w:rPr>
            </w:pPr>
            <w:r>
              <w:rPr>
                <w:rFonts w:ascii="Arial" w:hAnsi="Arial" w:cs="Arial"/>
                <w:sz w:val="16"/>
                <w:szCs w:val="16"/>
                <w:lang w:val="bg-BG"/>
              </w:rPr>
              <w:t>Вар</w:t>
            </w:r>
            <w:r w:rsidRPr="00703017">
              <w:rPr>
                <w:rFonts w:ascii="Arial" w:hAnsi="Arial" w:cs="Arial"/>
                <w:sz w:val="16"/>
                <w:szCs w:val="16"/>
                <w:lang w:val="bg-BG"/>
              </w:rPr>
              <w:t xml:space="preserve">ово мляко за друга употреба </w:t>
            </w:r>
          </w:p>
        </w:tc>
        <w:tc>
          <w:tcPr>
            <w:tcW w:w="5836" w:type="dxa"/>
            <w:gridSpan w:val="12"/>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 20 g / 5L </w:t>
            </w:r>
          </w:p>
        </w:tc>
      </w:tr>
      <w:tr w:rsidR="008D6E9B" w:rsidRPr="00703017">
        <w:trPr>
          <w:cantSplit/>
          <w:jc w:val="center"/>
        </w:trPr>
        <w:tc>
          <w:tcPr>
            <w:tcW w:w="9656" w:type="dxa"/>
            <w:gridSpan w:val="19"/>
            <w:shd w:val="clear" w:color="auto" w:fill="C0C0C0"/>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Честота и продължителност на употребата/експозицията</w:t>
            </w:r>
          </w:p>
        </w:tc>
      </w:tr>
      <w:tr w:rsidR="008D6E9B" w:rsidRPr="00703017">
        <w:trPr>
          <w:cantSplit/>
          <w:jc w:val="center"/>
        </w:trPr>
        <w:tc>
          <w:tcPr>
            <w:tcW w:w="3214" w:type="dxa"/>
            <w:gridSpan w:val="6"/>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 xml:space="preserve">Описание на задачата </w:t>
            </w:r>
          </w:p>
        </w:tc>
        <w:tc>
          <w:tcPr>
            <w:tcW w:w="3219" w:type="dxa"/>
            <w:gridSpan w:val="9"/>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Продължителност на експозицията на събитие</w:t>
            </w:r>
          </w:p>
        </w:tc>
        <w:tc>
          <w:tcPr>
            <w:tcW w:w="3223" w:type="dxa"/>
            <w:gridSpan w:val="4"/>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честота на събитията</w:t>
            </w:r>
          </w:p>
        </w:tc>
      </w:tr>
      <w:tr w:rsidR="008D6E9B" w:rsidRPr="00703017">
        <w:trPr>
          <w:cantSplit/>
          <w:jc w:val="center"/>
        </w:trPr>
        <w:tc>
          <w:tcPr>
            <w:tcW w:w="3214" w:type="dxa"/>
            <w:gridSpan w:val="6"/>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Приготвяне на варно мляко (товарене, пълнене и презареждане) </w:t>
            </w:r>
          </w:p>
        </w:tc>
        <w:tc>
          <w:tcPr>
            <w:tcW w:w="3219" w:type="dxa"/>
            <w:gridSpan w:val="9"/>
            <w:vAlign w:val="center"/>
          </w:tcPr>
          <w:p w:rsidR="008D6E9B" w:rsidRPr="00703017" w:rsidRDefault="008D6E9B" w:rsidP="00E72338">
            <w:pPr>
              <w:rPr>
                <w:rFonts w:ascii="Arial" w:hAnsi="Arial" w:cs="Arial"/>
                <w:sz w:val="16"/>
                <w:szCs w:val="16"/>
                <w:lang w:val="bg-BG"/>
              </w:rPr>
            </w:pPr>
            <w:r>
              <w:rPr>
                <w:rFonts w:ascii="Arial" w:hAnsi="Arial" w:cs="Arial"/>
                <w:sz w:val="16"/>
                <w:szCs w:val="16"/>
                <w:lang w:val="bg-BG"/>
              </w:rPr>
              <w:t>1</w:t>
            </w:r>
            <w:r w:rsidRPr="00A61D7B">
              <w:rPr>
                <w:rFonts w:ascii="Arial" w:hAnsi="Arial" w:cs="Arial"/>
                <w:sz w:val="16"/>
                <w:szCs w:val="16"/>
                <w:lang w:val="bg-BG"/>
              </w:rPr>
              <w:t>,</w:t>
            </w:r>
            <w:r w:rsidRPr="00703017">
              <w:rPr>
                <w:rFonts w:ascii="Arial" w:hAnsi="Arial" w:cs="Arial"/>
                <w:sz w:val="16"/>
                <w:szCs w:val="16"/>
                <w:lang w:val="bg-BG"/>
              </w:rPr>
              <w:t xml:space="preserve">33 min </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(описание </w:t>
            </w:r>
            <w:r>
              <w:rPr>
                <w:rFonts w:ascii="Arial" w:hAnsi="Arial" w:cs="Arial"/>
                <w:sz w:val="16"/>
                <w:szCs w:val="16"/>
                <w:lang w:val="bg-BG"/>
              </w:rPr>
              <w:t>„</w:t>
            </w:r>
            <w:r w:rsidRPr="00703017">
              <w:rPr>
                <w:rFonts w:ascii="Arial" w:hAnsi="Arial" w:cs="Arial"/>
                <w:sz w:val="16"/>
                <w:szCs w:val="16"/>
                <w:lang w:val="bg-BG"/>
              </w:rPr>
              <w:t xml:space="preserve">Направи си сам”, RIVM, Глава 2.4.2 Разбъркване и товарене на прахообразни вещества) </w:t>
            </w:r>
          </w:p>
        </w:tc>
        <w:tc>
          <w:tcPr>
            <w:tcW w:w="3223" w:type="dxa"/>
            <w:gridSpan w:val="4"/>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1 задача/месец</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1 задача/седмица</w:t>
            </w:r>
          </w:p>
        </w:tc>
      </w:tr>
      <w:tr w:rsidR="008D6E9B" w:rsidRPr="00703017">
        <w:trPr>
          <w:cantSplit/>
          <w:jc w:val="center"/>
        </w:trPr>
        <w:tc>
          <w:tcPr>
            <w:tcW w:w="3214" w:type="dxa"/>
            <w:gridSpan w:val="6"/>
            <w:vAlign w:val="center"/>
          </w:tcPr>
          <w:p w:rsidR="008D6E9B" w:rsidRPr="00703017" w:rsidRDefault="008D6E9B" w:rsidP="001450BE">
            <w:pPr>
              <w:rPr>
                <w:rFonts w:ascii="Arial" w:hAnsi="Arial" w:cs="Arial"/>
                <w:sz w:val="16"/>
                <w:szCs w:val="16"/>
                <w:lang w:val="bg-BG"/>
              </w:rPr>
            </w:pPr>
            <w:r w:rsidRPr="00703017">
              <w:rPr>
                <w:rFonts w:ascii="Arial" w:hAnsi="Arial" w:cs="Arial"/>
                <w:sz w:val="16"/>
                <w:szCs w:val="16"/>
                <w:lang w:val="bg-BG"/>
              </w:rPr>
              <w:lastRenderedPageBreak/>
              <w:t xml:space="preserve">Прилагане на варово мляко на капки към водата </w:t>
            </w:r>
          </w:p>
        </w:tc>
        <w:tc>
          <w:tcPr>
            <w:tcW w:w="3219" w:type="dxa"/>
            <w:gridSpan w:val="9"/>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Няколко минути - часове</w:t>
            </w:r>
          </w:p>
        </w:tc>
        <w:tc>
          <w:tcPr>
            <w:tcW w:w="3223" w:type="dxa"/>
            <w:gridSpan w:val="4"/>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1 задача/месец</w:t>
            </w:r>
          </w:p>
        </w:tc>
      </w:tr>
      <w:tr w:rsidR="008D6E9B" w:rsidRPr="00703017">
        <w:trPr>
          <w:cantSplit/>
          <w:jc w:val="center"/>
        </w:trPr>
        <w:tc>
          <w:tcPr>
            <w:tcW w:w="9656" w:type="dxa"/>
            <w:gridSpan w:val="19"/>
            <w:shd w:val="clear" w:color="auto" w:fill="C0C0C0"/>
            <w:vAlign w:val="center"/>
          </w:tcPr>
          <w:p w:rsidR="008D6E9B" w:rsidRPr="00703017" w:rsidRDefault="008D6E9B" w:rsidP="00E72338">
            <w:pPr>
              <w:keepNext/>
              <w:rPr>
                <w:rFonts w:ascii="Arial" w:hAnsi="Arial" w:cs="Arial"/>
                <w:b/>
                <w:bCs/>
                <w:color w:val="0000FF"/>
                <w:sz w:val="16"/>
                <w:szCs w:val="16"/>
                <w:lang w:val="bg-BG"/>
              </w:rPr>
            </w:pPr>
            <w:r w:rsidRPr="00703017">
              <w:rPr>
                <w:rFonts w:ascii="Arial" w:hAnsi="Arial" w:cs="Arial"/>
                <w:b/>
                <w:bCs/>
                <w:color w:val="0000FF"/>
                <w:sz w:val="16"/>
                <w:szCs w:val="16"/>
                <w:lang w:val="bg-BG"/>
              </w:rPr>
              <w:t xml:space="preserve">Човешки фактори, които не се влияят от управлението на риска  </w:t>
            </w:r>
          </w:p>
        </w:tc>
      </w:tr>
      <w:tr w:rsidR="008D6E9B" w:rsidRPr="0070774F">
        <w:trPr>
          <w:cantSplit/>
          <w:jc w:val="center"/>
        </w:trPr>
        <w:tc>
          <w:tcPr>
            <w:tcW w:w="1931" w:type="dxa"/>
            <w:gridSpan w:val="3"/>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Описание на задачата</w:t>
            </w:r>
          </w:p>
        </w:tc>
        <w:tc>
          <w:tcPr>
            <w:tcW w:w="1931" w:type="dxa"/>
            <w:gridSpan w:val="7"/>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Брой изложени</w:t>
            </w:r>
          </w:p>
        </w:tc>
        <w:tc>
          <w:tcPr>
            <w:tcW w:w="1931" w:type="dxa"/>
            <w:gridSpan w:val="4"/>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Скорост на дишане</w:t>
            </w:r>
          </w:p>
        </w:tc>
        <w:tc>
          <w:tcPr>
            <w:tcW w:w="1931" w:type="dxa"/>
            <w:gridSpan w:val="4"/>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Изложена част на тялото</w:t>
            </w:r>
          </w:p>
        </w:tc>
        <w:tc>
          <w:tcPr>
            <w:tcW w:w="1932" w:type="dxa"/>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Съответстваща площ от кожата [cm²]</w:t>
            </w:r>
          </w:p>
        </w:tc>
      </w:tr>
      <w:tr w:rsidR="008D6E9B" w:rsidRPr="00703017">
        <w:trPr>
          <w:cantSplit/>
          <w:jc w:val="center"/>
        </w:trPr>
        <w:tc>
          <w:tcPr>
            <w:tcW w:w="1931" w:type="dxa"/>
            <w:gridSpan w:val="3"/>
            <w:vAlign w:val="center"/>
          </w:tcPr>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 xml:space="preserve">Приготвяне на </w:t>
            </w:r>
            <w:r>
              <w:rPr>
                <w:rFonts w:ascii="Arial" w:hAnsi="Arial" w:cs="Arial"/>
                <w:sz w:val="16"/>
                <w:szCs w:val="16"/>
                <w:lang w:val="bg-BG"/>
              </w:rPr>
              <w:t>вар</w:t>
            </w:r>
            <w:r w:rsidRPr="00703017">
              <w:rPr>
                <w:rFonts w:ascii="Arial" w:hAnsi="Arial" w:cs="Arial"/>
                <w:sz w:val="16"/>
                <w:szCs w:val="16"/>
                <w:lang w:val="bg-BG"/>
              </w:rPr>
              <w:t xml:space="preserve">ово мляко (товарене, пълнене и презареждане) </w:t>
            </w:r>
          </w:p>
        </w:tc>
        <w:tc>
          <w:tcPr>
            <w:tcW w:w="1931" w:type="dxa"/>
            <w:gridSpan w:val="7"/>
            <w:vAlign w:val="center"/>
          </w:tcPr>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възрастен</w:t>
            </w:r>
          </w:p>
        </w:tc>
        <w:tc>
          <w:tcPr>
            <w:tcW w:w="1931" w:type="dxa"/>
            <w:gridSpan w:val="4"/>
            <w:vAlign w:val="center"/>
          </w:tcPr>
          <w:p w:rsidR="008D6E9B" w:rsidRPr="001450BE" w:rsidRDefault="008D6E9B" w:rsidP="00E72338">
            <w:pPr>
              <w:keepNext/>
              <w:rPr>
                <w:rFonts w:ascii="Arial" w:hAnsi="Arial" w:cs="Arial"/>
                <w:sz w:val="16"/>
                <w:szCs w:val="16"/>
                <w:lang w:val="de-DE"/>
              </w:rPr>
            </w:pPr>
            <w:r>
              <w:rPr>
                <w:rFonts w:ascii="Arial" w:hAnsi="Arial" w:cs="Arial"/>
                <w:sz w:val="16"/>
                <w:szCs w:val="16"/>
                <w:lang w:val="bg-BG"/>
              </w:rPr>
              <w:t>1</w:t>
            </w:r>
            <w:r>
              <w:rPr>
                <w:rFonts w:ascii="Arial" w:hAnsi="Arial" w:cs="Arial"/>
                <w:sz w:val="16"/>
                <w:szCs w:val="16"/>
                <w:lang w:val="de-DE"/>
              </w:rPr>
              <w:t>,</w:t>
            </w:r>
            <w:r w:rsidRPr="00703017">
              <w:rPr>
                <w:rFonts w:ascii="Arial" w:hAnsi="Arial" w:cs="Arial"/>
                <w:sz w:val="16"/>
                <w:szCs w:val="16"/>
                <w:lang w:val="bg-BG"/>
              </w:rPr>
              <w:t>25 m³/</w:t>
            </w:r>
            <w:r>
              <w:rPr>
                <w:rFonts w:ascii="Arial" w:hAnsi="Arial" w:cs="Arial"/>
                <w:sz w:val="16"/>
                <w:szCs w:val="16"/>
                <w:lang w:val="de-DE"/>
              </w:rPr>
              <w:t>hr</w:t>
            </w:r>
          </w:p>
        </w:tc>
        <w:tc>
          <w:tcPr>
            <w:tcW w:w="1931" w:type="dxa"/>
            <w:gridSpan w:val="4"/>
            <w:vAlign w:val="center"/>
          </w:tcPr>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 xml:space="preserve">Половината на двете ръце </w:t>
            </w:r>
          </w:p>
        </w:tc>
        <w:tc>
          <w:tcPr>
            <w:tcW w:w="1932" w:type="dxa"/>
            <w:vAlign w:val="center"/>
          </w:tcPr>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 xml:space="preserve">430 </w:t>
            </w:r>
          </w:p>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(RIVM Доклад 320104007)</w:t>
            </w:r>
          </w:p>
        </w:tc>
      </w:tr>
      <w:tr w:rsidR="008D6E9B" w:rsidRPr="00703017">
        <w:trPr>
          <w:cantSplit/>
          <w:jc w:val="center"/>
        </w:trPr>
        <w:tc>
          <w:tcPr>
            <w:tcW w:w="1931" w:type="dxa"/>
            <w:gridSpan w:val="3"/>
            <w:vAlign w:val="center"/>
          </w:tcPr>
          <w:p w:rsidR="008D6E9B" w:rsidRPr="00703017" w:rsidRDefault="008D6E9B" w:rsidP="00E72338">
            <w:pPr>
              <w:rPr>
                <w:rFonts w:ascii="Arial" w:hAnsi="Arial" w:cs="Arial"/>
                <w:sz w:val="16"/>
                <w:szCs w:val="16"/>
                <w:lang w:val="bg-BG"/>
              </w:rPr>
            </w:pPr>
            <w:r>
              <w:rPr>
                <w:rFonts w:ascii="Arial" w:hAnsi="Arial" w:cs="Arial"/>
                <w:sz w:val="16"/>
                <w:szCs w:val="16"/>
                <w:lang w:val="bg-BG"/>
              </w:rPr>
              <w:t>Прилагане на вар</w:t>
            </w:r>
            <w:r w:rsidRPr="00703017">
              <w:rPr>
                <w:rFonts w:ascii="Arial" w:hAnsi="Arial" w:cs="Arial"/>
                <w:sz w:val="16"/>
                <w:szCs w:val="16"/>
                <w:lang w:val="bg-BG"/>
              </w:rPr>
              <w:t xml:space="preserve">ово мляко на капки към водата </w:t>
            </w:r>
          </w:p>
        </w:tc>
        <w:tc>
          <w:tcPr>
            <w:tcW w:w="1931" w:type="dxa"/>
            <w:gridSpan w:val="7"/>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възрастен</w:t>
            </w:r>
          </w:p>
        </w:tc>
        <w:tc>
          <w:tcPr>
            <w:tcW w:w="1931" w:type="dxa"/>
            <w:gridSpan w:val="4"/>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NR</w:t>
            </w:r>
          </w:p>
        </w:tc>
        <w:tc>
          <w:tcPr>
            <w:tcW w:w="1931" w:type="dxa"/>
            <w:gridSpan w:val="4"/>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Ръце </w:t>
            </w:r>
          </w:p>
        </w:tc>
        <w:tc>
          <w:tcPr>
            <w:tcW w:w="1932"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860</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(RIVM Доклад 320104007)</w:t>
            </w:r>
          </w:p>
        </w:tc>
      </w:tr>
      <w:tr w:rsidR="008D6E9B" w:rsidRPr="00703017">
        <w:trPr>
          <w:cantSplit/>
          <w:jc w:val="center"/>
        </w:trPr>
        <w:tc>
          <w:tcPr>
            <w:tcW w:w="9656" w:type="dxa"/>
            <w:gridSpan w:val="19"/>
            <w:shd w:val="clear" w:color="auto" w:fill="C0C0C0"/>
            <w:vAlign w:val="center"/>
          </w:tcPr>
          <w:p w:rsidR="008D6E9B" w:rsidRPr="00703017" w:rsidRDefault="008D6E9B" w:rsidP="00E72338">
            <w:pPr>
              <w:rPr>
                <w:rFonts w:ascii="Arial" w:hAnsi="Arial" w:cs="Arial"/>
                <w:i/>
                <w:iCs/>
                <w:color w:val="0000FF"/>
                <w:sz w:val="16"/>
                <w:szCs w:val="16"/>
                <w:lang w:val="bg-BG"/>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потребителите</w:t>
            </w:r>
          </w:p>
        </w:tc>
      </w:tr>
      <w:tr w:rsidR="008D6E9B" w:rsidRPr="0070774F">
        <w:trPr>
          <w:cantSplit/>
          <w:jc w:val="center"/>
        </w:trPr>
        <w:tc>
          <w:tcPr>
            <w:tcW w:w="2688" w:type="dxa"/>
            <w:gridSpan w:val="5"/>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 xml:space="preserve">Описание на задачата </w:t>
            </w:r>
          </w:p>
        </w:tc>
        <w:tc>
          <w:tcPr>
            <w:tcW w:w="2321" w:type="dxa"/>
            <w:gridSpan w:val="7"/>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Вътре/вън</w:t>
            </w:r>
          </w:p>
        </w:tc>
        <w:tc>
          <w:tcPr>
            <w:tcW w:w="2322" w:type="dxa"/>
            <w:gridSpan w:val="4"/>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Обем на стаята</w:t>
            </w:r>
          </w:p>
        </w:tc>
        <w:tc>
          <w:tcPr>
            <w:tcW w:w="2325" w:type="dxa"/>
            <w:gridSpan w:val="3"/>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Скорост на обмяна на въздуха</w:t>
            </w:r>
          </w:p>
        </w:tc>
      </w:tr>
      <w:tr w:rsidR="008D6E9B" w:rsidRPr="00703017">
        <w:trPr>
          <w:cantSplit/>
          <w:jc w:val="center"/>
        </w:trPr>
        <w:tc>
          <w:tcPr>
            <w:tcW w:w="2688" w:type="dxa"/>
            <w:gridSpan w:val="5"/>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Приготвяне на </w:t>
            </w:r>
            <w:r>
              <w:rPr>
                <w:rFonts w:ascii="Arial" w:hAnsi="Arial" w:cs="Arial"/>
                <w:sz w:val="16"/>
                <w:szCs w:val="16"/>
                <w:lang w:val="bg-BG"/>
              </w:rPr>
              <w:t>варово</w:t>
            </w:r>
            <w:r w:rsidRPr="00703017">
              <w:rPr>
                <w:rFonts w:ascii="Arial" w:hAnsi="Arial" w:cs="Arial"/>
                <w:sz w:val="16"/>
                <w:szCs w:val="16"/>
                <w:lang w:val="bg-BG"/>
              </w:rPr>
              <w:t xml:space="preserve"> мляко (товарене, пълнене и презареждане) </w:t>
            </w:r>
          </w:p>
        </w:tc>
        <w:tc>
          <w:tcPr>
            <w:tcW w:w="2321" w:type="dxa"/>
            <w:gridSpan w:val="7"/>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Вътре/вън</w:t>
            </w:r>
          </w:p>
        </w:tc>
        <w:tc>
          <w:tcPr>
            <w:tcW w:w="2322" w:type="dxa"/>
            <w:gridSpan w:val="4"/>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1 m³ (лично място, малко площ около потребителя)</w:t>
            </w:r>
          </w:p>
        </w:tc>
        <w:tc>
          <w:tcPr>
            <w:tcW w:w="2325" w:type="dxa"/>
            <w:gridSpan w:val="3"/>
            <w:vAlign w:val="center"/>
          </w:tcPr>
          <w:p w:rsidR="008D6E9B" w:rsidRPr="00703017" w:rsidRDefault="008D6E9B" w:rsidP="00E72338">
            <w:pPr>
              <w:rPr>
                <w:rFonts w:ascii="Arial" w:hAnsi="Arial" w:cs="Arial"/>
                <w:sz w:val="16"/>
                <w:szCs w:val="16"/>
                <w:lang w:val="bg-BG"/>
              </w:rPr>
            </w:pPr>
            <w:r>
              <w:rPr>
                <w:rFonts w:ascii="Arial" w:hAnsi="Arial" w:cs="Arial"/>
                <w:sz w:val="16"/>
                <w:szCs w:val="16"/>
                <w:lang w:val="bg-BG"/>
              </w:rPr>
              <w:t>0</w:t>
            </w:r>
            <w:r>
              <w:rPr>
                <w:rFonts w:ascii="Arial" w:hAnsi="Arial" w:cs="Arial"/>
                <w:sz w:val="16"/>
                <w:szCs w:val="16"/>
                <w:lang w:val="de-DE"/>
              </w:rPr>
              <w:t>,</w:t>
            </w:r>
            <w:r w:rsidRPr="00703017">
              <w:rPr>
                <w:rFonts w:ascii="Arial" w:hAnsi="Arial" w:cs="Arial"/>
                <w:sz w:val="16"/>
                <w:szCs w:val="16"/>
                <w:lang w:val="bg-BG"/>
              </w:rPr>
              <w:t>6 часа</w:t>
            </w:r>
            <w:r w:rsidRPr="00703017">
              <w:rPr>
                <w:rFonts w:ascii="Arial" w:hAnsi="Arial" w:cs="Arial"/>
                <w:sz w:val="16"/>
                <w:szCs w:val="16"/>
                <w:vertAlign w:val="superscript"/>
                <w:lang w:val="bg-BG"/>
              </w:rPr>
              <w:t>-1</w:t>
            </w:r>
            <w:r w:rsidRPr="00703017">
              <w:rPr>
                <w:rFonts w:ascii="Arial" w:hAnsi="Arial" w:cs="Arial"/>
                <w:sz w:val="16"/>
                <w:szCs w:val="16"/>
                <w:lang w:val="bg-BG"/>
              </w:rPr>
              <w:t xml:space="preserve"> (неопределена стая)</w:t>
            </w:r>
          </w:p>
        </w:tc>
      </w:tr>
      <w:tr w:rsidR="008D6E9B" w:rsidRPr="00703017">
        <w:trPr>
          <w:cantSplit/>
          <w:jc w:val="center"/>
        </w:trPr>
        <w:tc>
          <w:tcPr>
            <w:tcW w:w="2688" w:type="dxa"/>
            <w:gridSpan w:val="5"/>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Прилагане на </w:t>
            </w:r>
            <w:r>
              <w:rPr>
                <w:rFonts w:ascii="Arial" w:hAnsi="Arial" w:cs="Arial"/>
                <w:sz w:val="16"/>
                <w:szCs w:val="16"/>
                <w:lang w:val="bg-BG"/>
              </w:rPr>
              <w:t>варово</w:t>
            </w:r>
            <w:r w:rsidRPr="00703017">
              <w:rPr>
                <w:rFonts w:ascii="Arial" w:hAnsi="Arial" w:cs="Arial"/>
                <w:sz w:val="16"/>
                <w:szCs w:val="16"/>
                <w:lang w:val="bg-BG"/>
              </w:rPr>
              <w:t xml:space="preserve"> мляко на капки към водата </w:t>
            </w:r>
          </w:p>
        </w:tc>
        <w:tc>
          <w:tcPr>
            <w:tcW w:w="2321" w:type="dxa"/>
            <w:gridSpan w:val="7"/>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вътре</w:t>
            </w:r>
          </w:p>
        </w:tc>
        <w:tc>
          <w:tcPr>
            <w:tcW w:w="2322" w:type="dxa"/>
            <w:gridSpan w:val="4"/>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NR</w:t>
            </w:r>
          </w:p>
        </w:tc>
        <w:tc>
          <w:tcPr>
            <w:tcW w:w="2325" w:type="dxa"/>
            <w:gridSpan w:val="3"/>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NR</w:t>
            </w:r>
          </w:p>
        </w:tc>
      </w:tr>
      <w:tr w:rsidR="008D6E9B" w:rsidRPr="00703017">
        <w:trPr>
          <w:cantSplit/>
          <w:jc w:val="center"/>
        </w:trPr>
        <w:tc>
          <w:tcPr>
            <w:tcW w:w="9656" w:type="dxa"/>
            <w:gridSpan w:val="19"/>
            <w:shd w:val="clear" w:color="auto" w:fill="C0C0C0"/>
            <w:vAlign w:val="center"/>
          </w:tcPr>
          <w:p w:rsidR="008D6E9B" w:rsidRPr="00703017" w:rsidRDefault="008D6E9B" w:rsidP="00E72338">
            <w:pPr>
              <w:rPr>
                <w:rFonts w:ascii="Arial" w:hAnsi="Arial" w:cs="Arial"/>
                <w:i/>
                <w:iCs/>
                <w:color w:val="0000FF"/>
                <w:sz w:val="16"/>
                <w:szCs w:val="16"/>
                <w:lang w:val="bg-BG"/>
              </w:rPr>
            </w:pPr>
            <w:r w:rsidRPr="00703017">
              <w:rPr>
                <w:rFonts w:ascii="Arial" w:hAnsi="Arial" w:cs="Arial"/>
                <w:b/>
                <w:bCs/>
                <w:color w:val="0000FF"/>
                <w:sz w:val="16"/>
                <w:szCs w:val="16"/>
                <w:lang w:val="bg-BG"/>
              </w:rPr>
              <w:t xml:space="preserve">Условия и мерки за информиране и съвети за поведението на потребителя </w:t>
            </w:r>
          </w:p>
        </w:tc>
      </w:tr>
      <w:tr w:rsidR="008D6E9B" w:rsidRPr="0070774F">
        <w:trPr>
          <w:cantSplit/>
          <w:jc w:val="center"/>
        </w:trPr>
        <w:tc>
          <w:tcPr>
            <w:tcW w:w="9656" w:type="dxa"/>
            <w:gridSpan w:val="19"/>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Не допускайте до очите, кожата или дрехите. Не вдишвайте праха</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Дръжте контейнерите затворени и извън достъпа на деца.</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Използвайте само при адекватна вентилация.</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При контакт с очите, изплакнете веднага с много вода и потърсете лекарска помощ.</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Добре се измийте след работа. </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Не смесвайте с киселини и винаги добавяйте вар към водата, а не вода към варта.</w:t>
            </w:r>
          </w:p>
        </w:tc>
      </w:tr>
      <w:tr w:rsidR="008D6E9B" w:rsidRPr="0070774F">
        <w:trPr>
          <w:cantSplit/>
          <w:jc w:val="center"/>
        </w:trPr>
        <w:tc>
          <w:tcPr>
            <w:tcW w:w="9656" w:type="dxa"/>
            <w:gridSpan w:val="19"/>
            <w:shd w:val="clear" w:color="auto" w:fill="C0C0C0"/>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за лична защита и хигиена</w:t>
            </w:r>
          </w:p>
        </w:tc>
      </w:tr>
      <w:tr w:rsidR="008D6E9B" w:rsidRPr="0070774F">
        <w:trPr>
          <w:cantSplit/>
          <w:jc w:val="center"/>
        </w:trPr>
        <w:tc>
          <w:tcPr>
            <w:tcW w:w="9656" w:type="dxa"/>
            <w:gridSpan w:val="19"/>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Носете подходящи ръкавици, очила и защитно облекло. Използвайте филтърна полумаска (тип FFP2 съгласно EN 149).</w:t>
            </w:r>
          </w:p>
        </w:tc>
      </w:tr>
      <w:tr w:rsidR="008D6E9B" w:rsidRPr="0070774F">
        <w:trPr>
          <w:cantSplit/>
          <w:jc w:val="center"/>
        </w:trPr>
        <w:tc>
          <w:tcPr>
            <w:tcW w:w="9656" w:type="dxa"/>
            <w:gridSpan w:val="19"/>
            <w:shd w:val="clear" w:color="auto" w:fill="00FFFF"/>
            <w:vAlign w:val="center"/>
          </w:tcPr>
          <w:p w:rsidR="008D6E9B" w:rsidRPr="00703017" w:rsidRDefault="008D6E9B" w:rsidP="00E72338">
            <w:pPr>
              <w:rPr>
                <w:rFonts w:ascii="Arial" w:hAnsi="Arial" w:cs="Arial"/>
                <w:b/>
                <w:bCs/>
                <w:color w:val="0000FF"/>
                <w:sz w:val="20"/>
                <w:szCs w:val="20"/>
                <w:lang w:val="bg-BG"/>
              </w:rPr>
            </w:pPr>
            <w:r w:rsidRPr="00703017">
              <w:rPr>
                <w:rFonts w:ascii="Arial" w:hAnsi="Arial" w:cs="Arial"/>
                <w:b/>
                <w:bCs/>
                <w:color w:val="0000FF"/>
                <w:sz w:val="20"/>
                <w:szCs w:val="20"/>
                <w:lang w:val="bg-BG"/>
              </w:rPr>
              <w:t>2.2 Контрол на експозицията за околната среда</w:t>
            </w:r>
          </w:p>
        </w:tc>
      </w:tr>
      <w:tr w:rsidR="008D6E9B" w:rsidRPr="00703017">
        <w:trPr>
          <w:cantSplit/>
          <w:jc w:val="center"/>
        </w:trPr>
        <w:tc>
          <w:tcPr>
            <w:tcW w:w="9656" w:type="dxa"/>
            <w:gridSpan w:val="19"/>
            <w:shd w:val="clear" w:color="auto" w:fill="C0C0C0"/>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Характеристика на продукта</w:t>
            </w:r>
          </w:p>
        </w:tc>
      </w:tr>
      <w:tr w:rsidR="008D6E9B" w:rsidRPr="00703017">
        <w:trPr>
          <w:cantSplit/>
          <w:jc w:val="center"/>
        </w:trPr>
        <w:tc>
          <w:tcPr>
            <w:tcW w:w="9656" w:type="dxa"/>
            <w:gridSpan w:val="19"/>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19"/>
            <w:shd w:val="clear" w:color="auto" w:fill="C0C0C0"/>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Използвани количества*</w:t>
            </w:r>
          </w:p>
        </w:tc>
      </w:tr>
      <w:tr w:rsidR="008D6E9B" w:rsidRPr="00703017">
        <w:trPr>
          <w:cantSplit/>
          <w:jc w:val="center"/>
        </w:trPr>
        <w:tc>
          <w:tcPr>
            <w:tcW w:w="9656" w:type="dxa"/>
            <w:gridSpan w:val="19"/>
            <w:vAlign w:val="center"/>
          </w:tcPr>
          <w:p w:rsidR="008D6E9B" w:rsidRPr="00703017" w:rsidRDefault="008D6E9B" w:rsidP="00E72338">
            <w:pPr>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19"/>
            <w:shd w:val="clear" w:color="auto" w:fill="C0C0C0"/>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Честота и продължителност на употребата</w:t>
            </w:r>
          </w:p>
        </w:tc>
      </w:tr>
      <w:tr w:rsidR="008D6E9B" w:rsidRPr="00703017">
        <w:trPr>
          <w:cantSplit/>
          <w:jc w:val="center"/>
        </w:trPr>
        <w:tc>
          <w:tcPr>
            <w:tcW w:w="9656" w:type="dxa"/>
            <w:gridSpan w:val="19"/>
            <w:vAlign w:val="center"/>
          </w:tcPr>
          <w:p w:rsidR="008D6E9B" w:rsidRPr="00703017" w:rsidRDefault="008D6E9B" w:rsidP="00E72338">
            <w:pPr>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19"/>
            <w:shd w:val="clear" w:color="auto" w:fill="CCCCCC"/>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 xml:space="preserve">Фактори на околната среда, които не се влияят от управлението на риска  </w:t>
            </w:r>
          </w:p>
        </w:tc>
      </w:tr>
      <w:tr w:rsidR="008D6E9B" w:rsidRPr="00703017">
        <w:trPr>
          <w:cantSplit/>
          <w:jc w:val="center"/>
        </w:trPr>
        <w:tc>
          <w:tcPr>
            <w:tcW w:w="9656" w:type="dxa"/>
            <w:gridSpan w:val="19"/>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Речен поток по презумпция и разливане</w:t>
            </w:r>
          </w:p>
        </w:tc>
      </w:tr>
      <w:tr w:rsidR="008D6E9B" w:rsidRPr="00703017">
        <w:trPr>
          <w:cantSplit/>
          <w:jc w:val="center"/>
        </w:trPr>
        <w:tc>
          <w:tcPr>
            <w:tcW w:w="9656" w:type="dxa"/>
            <w:gridSpan w:val="19"/>
            <w:shd w:val="clear" w:color="auto" w:fill="C0C0C0"/>
            <w:vAlign w:val="center"/>
          </w:tcPr>
          <w:p w:rsidR="008D6E9B" w:rsidRPr="00703017" w:rsidRDefault="008D6E9B" w:rsidP="00E72338">
            <w:pPr>
              <w:rPr>
                <w:rFonts w:ascii="Arial" w:hAnsi="Arial" w:cs="Arial"/>
                <w:i/>
                <w:iCs/>
                <w:color w:val="0000FF"/>
                <w:sz w:val="16"/>
                <w:szCs w:val="16"/>
                <w:lang w:val="bg-BG"/>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rPr>
          <w:cantSplit/>
          <w:jc w:val="center"/>
        </w:trPr>
        <w:tc>
          <w:tcPr>
            <w:tcW w:w="9656" w:type="dxa"/>
            <w:gridSpan w:val="19"/>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Вътре</w:t>
            </w:r>
          </w:p>
        </w:tc>
      </w:tr>
      <w:tr w:rsidR="008D6E9B" w:rsidRPr="00703017">
        <w:trPr>
          <w:cantSplit/>
          <w:jc w:val="center"/>
        </w:trPr>
        <w:tc>
          <w:tcPr>
            <w:tcW w:w="9656" w:type="dxa"/>
            <w:gridSpan w:val="19"/>
            <w:shd w:val="clear" w:color="auto" w:fill="C0C0C0"/>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свързани с общинските ПСОВ</w:t>
            </w:r>
          </w:p>
        </w:tc>
      </w:tr>
      <w:tr w:rsidR="008D6E9B" w:rsidRPr="00703017">
        <w:trPr>
          <w:cantSplit/>
          <w:jc w:val="center"/>
        </w:trPr>
        <w:tc>
          <w:tcPr>
            <w:tcW w:w="9656" w:type="dxa"/>
            <w:gridSpan w:val="19"/>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Размер по презумпция на общинската канализационна система/ПСОВ и техника за обработване на утайката </w:t>
            </w:r>
          </w:p>
        </w:tc>
      </w:tr>
      <w:tr w:rsidR="008D6E9B" w:rsidRPr="00703017">
        <w:trPr>
          <w:cantSplit/>
          <w:jc w:val="center"/>
        </w:trPr>
        <w:tc>
          <w:tcPr>
            <w:tcW w:w="9656" w:type="dxa"/>
            <w:gridSpan w:val="19"/>
            <w:shd w:val="clear" w:color="auto" w:fill="C0C0C0"/>
            <w:vAlign w:val="center"/>
          </w:tcPr>
          <w:p w:rsidR="008D6E9B" w:rsidRPr="00703017" w:rsidRDefault="008D6E9B"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 xml:space="preserve">Условия и мерки, свързани с външното третиране на отпадъците за депониране </w:t>
            </w:r>
          </w:p>
        </w:tc>
      </w:tr>
      <w:tr w:rsidR="008D6E9B" w:rsidRPr="00703017">
        <w:trPr>
          <w:cantSplit/>
          <w:jc w:val="center"/>
        </w:trPr>
        <w:tc>
          <w:tcPr>
            <w:tcW w:w="9656" w:type="dxa"/>
            <w:gridSpan w:val="19"/>
            <w:vAlign w:val="center"/>
          </w:tcPr>
          <w:p w:rsidR="008D6E9B" w:rsidRPr="00703017" w:rsidRDefault="008D6E9B" w:rsidP="00E72338">
            <w:pPr>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19"/>
            <w:shd w:val="clear" w:color="auto" w:fill="C0C0C0"/>
            <w:vAlign w:val="center"/>
          </w:tcPr>
          <w:p w:rsidR="008D6E9B" w:rsidRPr="00703017" w:rsidRDefault="008D6E9B" w:rsidP="00E72338">
            <w:pPr>
              <w:rPr>
                <w:rFonts w:ascii="Arial" w:hAnsi="Arial" w:cs="Arial"/>
                <w:i/>
                <w:iCs/>
                <w:color w:val="0000FF"/>
                <w:sz w:val="16"/>
                <w:szCs w:val="16"/>
                <w:lang w:val="bg-BG"/>
              </w:rPr>
            </w:pPr>
            <w:r w:rsidRPr="00703017">
              <w:rPr>
                <w:rFonts w:ascii="Arial" w:hAnsi="Arial" w:cs="Arial"/>
                <w:b/>
                <w:bCs/>
                <w:color w:val="0000FF"/>
                <w:sz w:val="16"/>
                <w:szCs w:val="16"/>
                <w:lang w:val="bg-BG"/>
              </w:rPr>
              <w:t>Условия и мерки, свързани с външното регенериране на отпадъците</w:t>
            </w:r>
          </w:p>
        </w:tc>
      </w:tr>
      <w:tr w:rsidR="008D6E9B" w:rsidRPr="00703017">
        <w:trPr>
          <w:cantSplit/>
          <w:jc w:val="center"/>
        </w:trPr>
        <w:tc>
          <w:tcPr>
            <w:tcW w:w="9656" w:type="dxa"/>
            <w:gridSpan w:val="19"/>
            <w:vAlign w:val="center"/>
          </w:tcPr>
          <w:p w:rsidR="008D6E9B" w:rsidRPr="00703017" w:rsidRDefault="008D6E9B" w:rsidP="00E72338">
            <w:pPr>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19"/>
            <w:shd w:val="clear" w:color="auto" w:fill="00FFFF"/>
            <w:vAlign w:val="center"/>
          </w:tcPr>
          <w:p w:rsidR="008D6E9B" w:rsidRPr="00703017" w:rsidRDefault="008D6E9B" w:rsidP="00E72338">
            <w:pPr>
              <w:keepNext/>
              <w:rPr>
                <w:rFonts w:ascii="Arial" w:hAnsi="Arial" w:cs="Arial"/>
                <w:i/>
                <w:iCs/>
                <w:color w:val="0000FF"/>
                <w:sz w:val="20"/>
                <w:szCs w:val="20"/>
                <w:lang w:val="bg-BG"/>
              </w:rPr>
            </w:pPr>
            <w:r w:rsidRPr="00703017">
              <w:rPr>
                <w:rFonts w:ascii="Arial" w:hAnsi="Arial" w:cs="Arial"/>
                <w:b/>
                <w:bCs/>
                <w:color w:val="0000FF"/>
                <w:sz w:val="20"/>
                <w:szCs w:val="20"/>
                <w:lang w:val="bg-BG"/>
              </w:rPr>
              <w:lastRenderedPageBreak/>
              <w:t>3. Оценка на експозицията и референция на източника</w:t>
            </w:r>
          </w:p>
        </w:tc>
      </w:tr>
      <w:tr w:rsidR="008D6E9B" w:rsidRPr="0070774F">
        <w:trPr>
          <w:cantSplit/>
          <w:jc w:val="center"/>
        </w:trPr>
        <w:tc>
          <w:tcPr>
            <w:tcW w:w="9656" w:type="dxa"/>
            <w:gridSpan w:val="19"/>
            <w:vAlign w:val="center"/>
          </w:tcPr>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 xml:space="preserve">Съотношението на характеризиране на риска (RCR) е отношение на прецизната оценка на експозицията и съответното DNEL (получено безопасно ниво) и е дадено в скоби по-долу. За експозиция при вдишване, RCR се основава на акутното DNEL за </w:t>
            </w:r>
            <w:r>
              <w:rPr>
                <w:rFonts w:ascii="Arial" w:hAnsi="Arial" w:cs="Arial"/>
                <w:sz w:val="16"/>
                <w:szCs w:val="16"/>
                <w:lang w:val="bg-BG"/>
              </w:rPr>
              <w:t>варови</w:t>
            </w:r>
            <w:r w:rsidRPr="00703017">
              <w:rPr>
                <w:rFonts w:ascii="Arial" w:hAnsi="Arial" w:cs="Arial"/>
                <w:sz w:val="16"/>
                <w:szCs w:val="16"/>
                <w:lang w:val="bg-BG"/>
              </w:rPr>
              <w:t xml:space="preserve"> вещества от 4 mg/m</w:t>
            </w:r>
            <w:r w:rsidRPr="00703017">
              <w:rPr>
                <w:rFonts w:ascii="Arial" w:hAnsi="Arial" w:cs="Arial"/>
                <w:sz w:val="16"/>
                <w:szCs w:val="16"/>
                <w:vertAlign w:val="superscript"/>
                <w:lang w:val="bg-BG"/>
              </w:rPr>
              <w:t>3</w:t>
            </w:r>
            <w:r w:rsidRPr="00703017">
              <w:rPr>
                <w:rFonts w:ascii="Arial" w:hAnsi="Arial" w:cs="Arial"/>
                <w:sz w:val="16"/>
                <w:szCs w:val="16"/>
                <w:lang w:val="bg-BG"/>
              </w:rPr>
              <w:t xml:space="preserve"> (като вдишван прах) и съответната оценка на експозиция при вдишване (като вдишван прах). По този начин, RCR включва една допълнителна граница на сигурност, т</w:t>
            </w:r>
            <w:r>
              <w:rPr>
                <w:rFonts w:ascii="Arial" w:hAnsi="Arial" w:cs="Arial"/>
                <w:sz w:val="16"/>
                <w:szCs w:val="16"/>
                <w:lang w:val="bg-BG"/>
              </w:rPr>
              <w:t>ъй като вдишаната фракция е под</w:t>
            </w:r>
            <w:r w:rsidRPr="00703017">
              <w:rPr>
                <w:rFonts w:ascii="Arial" w:hAnsi="Arial" w:cs="Arial"/>
                <w:sz w:val="16"/>
                <w:szCs w:val="16"/>
                <w:lang w:val="bg-BG"/>
              </w:rPr>
              <w:t>фракция на вдишваната фракция, съгласно EN 481.</w:t>
            </w:r>
          </w:p>
          <w:p w:rsidR="008D6E9B" w:rsidRPr="00703017" w:rsidRDefault="008D6E9B" w:rsidP="00E72338">
            <w:pPr>
              <w:keepNext/>
              <w:rPr>
                <w:rFonts w:ascii="Arial" w:hAnsi="Arial" w:cs="Arial"/>
                <w:sz w:val="16"/>
                <w:szCs w:val="16"/>
                <w:lang w:val="bg-BG" w:eastAsia="de-DE"/>
              </w:rPr>
            </w:pPr>
            <w:r w:rsidRPr="00703017">
              <w:rPr>
                <w:rFonts w:ascii="Arial" w:hAnsi="Arial" w:cs="Arial"/>
                <w:sz w:val="16"/>
                <w:szCs w:val="16"/>
                <w:lang w:val="bg-BG"/>
              </w:rPr>
              <w:t>Тъй като варовиковите вещества се класифицират като дразнещи кожата и очите, се извърши качествена оценка при дермална експозиция и експозиция на очите.</w:t>
            </w:r>
          </w:p>
        </w:tc>
      </w:tr>
      <w:tr w:rsidR="008D6E9B" w:rsidRPr="00703017">
        <w:trPr>
          <w:cantSplit/>
          <w:jc w:val="center"/>
        </w:trPr>
        <w:tc>
          <w:tcPr>
            <w:tcW w:w="9656" w:type="dxa"/>
            <w:gridSpan w:val="19"/>
            <w:shd w:val="clear" w:color="auto" w:fill="BFBFBF"/>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Човешка експозиция</w:t>
            </w:r>
          </w:p>
        </w:tc>
      </w:tr>
      <w:tr w:rsidR="008D6E9B" w:rsidRPr="00703017">
        <w:trPr>
          <w:cantSplit/>
          <w:jc w:val="center"/>
        </w:trPr>
        <w:tc>
          <w:tcPr>
            <w:tcW w:w="9656" w:type="dxa"/>
            <w:gridSpan w:val="19"/>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 xml:space="preserve">Приготвяне на </w:t>
            </w:r>
            <w:r w:rsidRPr="00C31418">
              <w:rPr>
                <w:rFonts w:ascii="Arial" w:hAnsi="Arial" w:cs="Arial"/>
                <w:b/>
                <w:bCs/>
                <w:sz w:val="16"/>
                <w:szCs w:val="16"/>
                <w:lang w:val="bg-BG"/>
              </w:rPr>
              <w:t xml:space="preserve">варово </w:t>
            </w:r>
            <w:r w:rsidRPr="00703017">
              <w:rPr>
                <w:rFonts w:ascii="Arial" w:hAnsi="Arial" w:cs="Arial"/>
                <w:b/>
                <w:bCs/>
                <w:sz w:val="16"/>
                <w:szCs w:val="16"/>
                <w:lang w:val="bg-BG"/>
              </w:rPr>
              <w:t>мляко (товарене)</w:t>
            </w:r>
          </w:p>
        </w:tc>
      </w:tr>
      <w:tr w:rsidR="008D6E9B" w:rsidRPr="00703017">
        <w:trPr>
          <w:cantSplit/>
          <w:jc w:val="center"/>
        </w:trPr>
        <w:tc>
          <w:tcPr>
            <w:tcW w:w="1700" w:type="dxa"/>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Маршрут на експозицията</w:t>
            </w:r>
          </w:p>
        </w:tc>
        <w:tc>
          <w:tcPr>
            <w:tcW w:w="2833" w:type="dxa"/>
            <w:gridSpan w:val="10"/>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Оценка на експозиция</w:t>
            </w:r>
          </w:p>
        </w:tc>
        <w:tc>
          <w:tcPr>
            <w:tcW w:w="5123" w:type="dxa"/>
            <w:gridSpan w:val="8"/>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Използван метод, коментари</w:t>
            </w:r>
          </w:p>
        </w:tc>
      </w:tr>
      <w:tr w:rsidR="008D6E9B" w:rsidRPr="0070774F">
        <w:trPr>
          <w:cantSplit/>
          <w:jc w:val="center"/>
        </w:trPr>
        <w:tc>
          <w:tcPr>
            <w:tcW w:w="1700" w:type="dxa"/>
            <w:vAlign w:val="center"/>
          </w:tcPr>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Орален</w:t>
            </w:r>
          </w:p>
        </w:tc>
        <w:tc>
          <w:tcPr>
            <w:tcW w:w="2833" w:type="dxa"/>
            <w:gridSpan w:val="10"/>
            <w:vAlign w:val="center"/>
          </w:tcPr>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w:t>
            </w:r>
          </w:p>
        </w:tc>
        <w:tc>
          <w:tcPr>
            <w:tcW w:w="5123" w:type="dxa"/>
            <w:gridSpan w:val="8"/>
            <w:vAlign w:val="center"/>
          </w:tcPr>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keepNext/>
              <w:rPr>
                <w:rFonts w:ascii="Arial" w:hAnsi="Arial" w:cs="Arial"/>
                <w:sz w:val="16"/>
                <w:szCs w:val="16"/>
                <w:lang w:val="bg-BG"/>
              </w:rPr>
            </w:pPr>
            <w:r w:rsidRPr="00703017">
              <w:rPr>
                <w:rFonts w:ascii="Arial" w:hAnsi="Arial" w:cs="Arial"/>
                <w:sz w:val="16"/>
                <w:szCs w:val="16"/>
                <w:lang w:val="bg-BG"/>
              </w:rPr>
              <w:t>Не се появява орална експозиция като част от намеренията за употреба.</w:t>
            </w:r>
          </w:p>
        </w:tc>
      </w:tr>
      <w:tr w:rsidR="008D6E9B" w:rsidRPr="0070774F">
        <w:trPr>
          <w:cantSplit/>
          <w:jc w:val="center"/>
        </w:trPr>
        <w:tc>
          <w:tcPr>
            <w:tcW w:w="1700"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Дермално (прахообразно)</w:t>
            </w:r>
          </w:p>
        </w:tc>
        <w:tc>
          <w:tcPr>
            <w:tcW w:w="2833" w:type="dxa"/>
            <w:gridSpan w:val="10"/>
            <w:vAlign w:val="center"/>
          </w:tcPr>
          <w:p w:rsidR="008D6E9B" w:rsidRPr="00703017" w:rsidRDefault="008D6E9B" w:rsidP="00E72338">
            <w:pPr>
              <w:rPr>
                <w:rFonts w:ascii="Arial" w:hAnsi="Arial" w:cs="Arial"/>
                <w:sz w:val="16"/>
                <w:szCs w:val="16"/>
                <w:lang w:val="bg-BG"/>
              </w:rPr>
            </w:pPr>
            <w:r>
              <w:rPr>
                <w:rFonts w:ascii="Arial" w:hAnsi="Arial" w:cs="Arial"/>
                <w:sz w:val="16"/>
                <w:szCs w:val="16"/>
                <w:lang w:val="bg-BG"/>
              </w:rPr>
              <w:t>малка задача: 0</w:t>
            </w:r>
            <w:r w:rsidRPr="00A61D7B">
              <w:rPr>
                <w:rFonts w:ascii="Arial" w:hAnsi="Arial" w:cs="Arial"/>
                <w:sz w:val="16"/>
                <w:szCs w:val="16"/>
                <w:lang w:val="bg-BG"/>
              </w:rPr>
              <w:t>,</w:t>
            </w:r>
            <w:r w:rsidRPr="00703017">
              <w:rPr>
                <w:rFonts w:ascii="Arial" w:hAnsi="Arial" w:cs="Arial"/>
                <w:sz w:val="16"/>
                <w:szCs w:val="16"/>
                <w:lang w:val="bg-BG"/>
              </w:rPr>
              <w:t>1 µg/cm² (-)</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голяма задача: 1 µg/cm² (-)</w:t>
            </w:r>
          </w:p>
        </w:tc>
        <w:tc>
          <w:tcPr>
            <w:tcW w:w="5123"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rPr>
                <w:rFonts w:ascii="Arial" w:hAnsi="Arial" w:cs="Arial"/>
                <w:color w:val="000000"/>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Но не може да се изключи кожен контакт с праха при товарене на варовото вещество или директен контакт с варта, ако не се носят предпазни ръкавици. В резултат на това </w:t>
            </w:r>
            <w:r w:rsidRPr="00703017">
              <w:rPr>
                <w:rFonts w:ascii="Arial" w:hAnsi="Arial" w:cs="Arial"/>
                <w:color w:val="000000"/>
                <w:sz w:val="16"/>
                <w:szCs w:val="16"/>
                <w:lang w:val="bg-BG"/>
              </w:rPr>
              <w:t>може понякога да се появи леко раздразнение, което лесно се отстрани чрез бърза промивка с вода.</w:t>
            </w:r>
          </w:p>
          <w:p w:rsidR="008D6E9B" w:rsidRPr="00703017" w:rsidRDefault="008D6E9B" w:rsidP="00E72338">
            <w:pPr>
              <w:rPr>
                <w:rFonts w:ascii="Arial" w:hAnsi="Arial" w:cs="Arial"/>
                <w:color w:val="000000"/>
                <w:sz w:val="16"/>
                <w:szCs w:val="16"/>
                <w:lang w:val="bg-BG"/>
              </w:rPr>
            </w:pPr>
            <w:r w:rsidRPr="00703017">
              <w:rPr>
                <w:rFonts w:ascii="Arial" w:hAnsi="Arial" w:cs="Arial"/>
                <w:color w:val="000000"/>
                <w:sz w:val="16"/>
                <w:szCs w:val="16"/>
                <w:lang w:val="bg-BG"/>
              </w:rPr>
              <w:t xml:space="preserve">Количествена оценка </w:t>
            </w:r>
          </w:p>
          <w:p w:rsidR="008D6E9B" w:rsidRPr="00703017" w:rsidRDefault="008D6E9B" w:rsidP="00E72338">
            <w:pPr>
              <w:rPr>
                <w:rFonts w:ascii="Arial" w:hAnsi="Arial" w:cs="Arial"/>
                <w:sz w:val="16"/>
                <w:szCs w:val="16"/>
                <w:highlight w:val="yellow"/>
                <w:lang w:val="bg-BG"/>
              </w:rPr>
            </w:pPr>
            <w:r w:rsidRPr="00703017">
              <w:rPr>
                <w:rFonts w:ascii="Arial" w:hAnsi="Arial" w:cs="Arial"/>
                <w:color w:val="000000"/>
                <w:sz w:val="16"/>
                <w:szCs w:val="16"/>
                <w:lang w:val="bg-BG"/>
              </w:rPr>
              <w:t xml:space="preserve">Използва се Моделът на постоянната скорост на ConsExpo. </w:t>
            </w:r>
            <w:r w:rsidRPr="00703017">
              <w:rPr>
                <w:rFonts w:ascii="Arial" w:hAnsi="Arial" w:cs="Arial"/>
                <w:sz w:val="16"/>
                <w:szCs w:val="16"/>
                <w:lang w:val="bg-BG"/>
              </w:rPr>
              <w:t xml:space="preserve">Постоянната скорост на прахта, която се формира при изсипване, е взета от описанието на </w:t>
            </w:r>
            <w:r>
              <w:rPr>
                <w:rFonts w:ascii="Arial" w:hAnsi="Arial" w:cs="Arial"/>
                <w:sz w:val="16"/>
                <w:szCs w:val="16"/>
                <w:lang w:val="bg-BG"/>
              </w:rPr>
              <w:t>„</w:t>
            </w:r>
            <w:r w:rsidRPr="00703017">
              <w:rPr>
                <w:rFonts w:ascii="Arial" w:hAnsi="Arial" w:cs="Arial"/>
                <w:sz w:val="16"/>
                <w:szCs w:val="16"/>
                <w:lang w:val="bg-BG"/>
              </w:rPr>
              <w:t>Направи си сам</w:t>
            </w:r>
            <w:r>
              <w:rPr>
                <w:rFonts w:ascii="Arial" w:hAnsi="Arial" w:cs="Arial"/>
                <w:sz w:val="16"/>
                <w:szCs w:val="16"/>
                <w:lang w:val="bg-BG"/>
              </w:rPr>
              <w:t>“</w:t>
            </w:r>
            <w:r w:rsidRPr="00703017">
              <w:rPr>
                <w:rFonts w:ascii="Arial" w:hAnsi="Arial" w:cs="Arial"/>
                <w:sz w:val="16"/>
                <w:szCs w:val="16"/>
                <w:lang w:val="bg-BG"/>
              </w:rPr>
              <w:t xml:space="preserve"> (RIVM report 320104007). За гранулите оценката на експозицията ще бъде дори по-ниска.</w:t>
            </w:r>
          </w:p>
        </w:tc>
      </w:tr>
      <w:tr w:rsidR="008D6E9B" w:rsidRPr="0070774F">
        <w:trPr>
          <w:cantSplit/>
          <w:jc w:val="center"/>
        </w:trPr>
        <w:tc>
          <w:tcPr>
            <w:tcW w:w="1700" w:type="dxa"/>
            <w:vAlign w:val="center"/>
          </w:tcPr>
          <w:p w:rsidR="008D6E9B" w:rsidRPr="00703017" w:rsidRDefault="008D6E9B" w:rsidP="00E72338">
            <w:pPr>
              <w:rPr>
                <w:rFonts w:ascii="Arial" w:hAnsi="Arial" w:cs="Arial"/>
                <w:sz w:val="16"/>
                <w:szCs w:val="16"/>
                <w:lang w:val="bg-BG"/>
              </w:rPr>
            </w:pPr>
            <w:r w:rsidRPr="00B370F7">
              <w:rPr>
                <w:rFonts w:ascii="Arial" w:hAnsi="Arial" w:cs="Arial"/>
                <w:sz w:val="16"/>
                <w:szCs w:val="16"/>
                <w:lang w:val="bg-BG"/>
              </w:rPr>
              <w:t>Очи</w:t>
            </w:r>
          </w:p>
        </w:tc>
        <w:tc>
          <w:tcPr>
            <w:tcW w:w="2833" w:type="dxa"/>
            <w:gridSpan w:val="10"/>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Прах</w:t>
            </w:r>
          </w:p>
        </w:tc>
        <w:tc>
          <w:tcPr>
            <w:tcW w:w="5123"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Прахта от товаренето на </w:t>
            </w:r>
            <w:r>
              <w:rPr>
                <w:rFonts w:ascii="Arial" w:hAnsi="Arial" w:cs="Arial"/>
                <w:sz w:val="16"/>
                <w:szCs w:val="16"/>
                <w:lang w:val="bg-BG"/>
              </w:rPr>
              <w:t>варови</w:t>
            </w:r>
            <w:r w:rsidRPr="00703017">
              <w:rPr>
                <w:rFonts w:ascii="Arial" w:hAnsi="Arial" w:cs="Arial"/>
                <w:sz w:val="16"/>
                <w:szCs w:val="16"/>
                <w:lang w:val="bg-BG"/>
              </w:rPr>
              <w:t xml:space="preserve"> вещества не може да се изключи, освен ако не се носят защитни очила. След инцидентна експозиция се препоръчва бърза промивка с вода и търсене на медицинска помощ.</w:t>
            </w:r>
          </w:p>
        </w:tc>
      </w:tr>
      <w:tr w:rsidR="008D6E9B" w:rsidRPr="0070774F">
        <w:trPr>
          <w:cantSplit/>
          <w:jc w:val="center"/>
        </w:trPr>
        <w:tc>
          <w:tcPr>
            <w:tcW w:w="1700"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Вдишване (прахообразно)</w:t>
            </w:r>
          </w:p>
        </w:tc>
        <w:tc>
          <w:tcPr>
            <w:tcW w:w="2833" w:type="dxa"/>
            <w:gridSpan w:val="10"/>
            <w:vAlign w:val="center"/>
          </w:tcPr>
          <w:p w:rsidR="008D6E9B" w:rsidRPr="00703017" w:rsidRDefault="008D6E9B" w:rsidP="00E72338">
            <w:pPr>
              <w:rPr>
                <w:rFonts w:ascii="Arial" w:hAnsi="Arial" w:cs="Arial"/>
                <w:sz w:val="16"/>
                <w:szCs w:val="16"/>
                <w:lang w:val="bg-BG"/>
              </w:rPr>
            </w:pPr>
            <w:r>
              <w:rPr>
                <w:rFonts w:ascii="Arial" w:hAnsi="Arial" w:cs="Arial"/>
                <w:sz w:val="16"/>
                <w:szCs w:val="16"/>
                <w:lang w:val="bg-BG"/>
              </w:rPr>
              <w:t>Малка задача: 12 µg/m³ (0</w:t>
            </w:r>
            <w:r w:rsidRPr="00373998">
              <w:rPr>
                <w:rFonts w:ascii="Arial" w:hAnsi="Arial" w:cs="Arial"/>
                <w:sz w:val="16"/>
                <w:szCs w:val="16"/>
                <w:lang w:val="bg-BG"/>
              </w:rPr>
              <w:t>,</w:t>
            </w:r>
            <w:r w:rsidRPr="00703017">
              <w:rPr>
                <w:rFonts w:ascii="Arial" w:hAnsi="Arial" w:cs="Arial"/>
                <w:sz w:val="16"/>
                <w:szCs w:val="16"/>
                <w:lang w:val="bg-BG"/>
              </w:rPr>
              <w:t>003)</w:t>
            </w:r>
          </w:p>
          <w:p w:rsidR="008D6E9B" w:rsidRPr="00703017" w:rsidRDefault="008D6E9B" w:rsidP="00E72338">
            <w:pPr>
              <w:rPr>
                <w:rFonts w:ascii="Arial" w:hAnsi="Arial" w:cs="Arial"/>
                <w:sz w:val="16"/>
                <w:szCs w:val="16"/>
                <w:lang w:val="bg-BG"/>
              </w:rPr>
            </w:pPr>
            <w:r>
              <w:rPr>
                <w:rFonts w:ascii="Arial" w:hAnsi="Arial" w:cs="Arial"/>
                <w:sz w:val="16"/>
                <w:szCs w:val="16"/>
                <w:lang w:val="bg-BG"/>
              </w:rPr>
              <w:t>Голяма задача: 120 µg/m³ (0</w:t>
            </w:r>
            <w:r w:rsidRPr="00373998">
              <w:rPr>
                <w:rFonts w:ascii="Arial" w:hAnsi="Arial" w:cs="Arial"/>
                <w:sz w:val="16"/>
                <w:szCs w:val="16"/>
                <w:lang w:val="bg-BG"/>
              </w:rPr>
              <w:t>,</w:t>
            </w:r>
            <w:r w:rsidRPr="00703017">
              <w:rPr>
                <w:rFonts w:ascii="Arial" w:hAnsi="Arial" w:cs="Arial"/>
                <w:sz w:val="16"/>
                <w:szCs w:val="16"/>
                <w:lang w:val="bg-BG"/>
              </w:rPr>
              <w:t>03)</w:t>
            </w:r>
          </w:p>
        </w:tc>
        <w:tc>
          <w:tcPr>
            <w:tcW w:w="5123"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Количествена оценка</w:t>
            </w:r>
          </w:p>
          <w:p w:rsidR="008D6E9B" w:rsidRPr="00703017" w:rsidRDefault="008D6E9B" w:rsidP="00E72338">
            <w:pPr>
              <w:rPr>
                <w:rFonts w:ascii="Arial" w:hAnsi="Arial" w:cs="Arial"/>
                <w:sz w:val="16"/>
                <w:szCs w:val="16"/>
                <w:lang w:val="bg-BG" w:eastAsia="de-DE"/>
              </w:rPr>
            </w:pPr>
            <w:r w:rsidRPr="00703017">
              <w:rPr>
                <w:rFonts w:ascii="Arial" w:hAnsi="Arial" w:cs="Arial"/>
                <w:sz w:val="16"/>
                <w:szCs w:val="16"/>
                <w:lang w:val="bg-BG"/>
              </w:rPr>
              <w:t>Формирането на прах при изсипване е предмет на холандския модел (van Hemmen, 1992, както е описан в Раздел 9.0.3.1 по-горе).</w:t>
            </w:r>
          </w:p>
        </w:tc>
      </w:tr>
      <w:tr w:rsidR="008D6E9B" w:rsidRPr="0070774F">
        <w:trPr>
          <w:cantSplit/>
          <w:jc w:val="center"/>
        </w:trPr>
        <w:tc>
          <w:tcPr>
            <w:tcW w:w="1700"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Вдишване (гранули)</w:t>
            </w:r>
          </w:p>
        </w:tc>
        <w:tc>
          <w:tcPr>
            <w:tcW w:w="2833" w:type="dxa"/>
            <w:gridSpan w:val="10"/>
            <w:vAlign w:val="center"/>
          </w:tcPr>
          <w:p w:rsidR="008D6E9B" w:rsidRPr="00703017" w:rsidRDefault="008D6E9B" w:rsidP="00E72338">
            <w:pPr>
              <w:rPr>
                <w:rFonts w:ascii="Arial" w:hAnsi="Arial" w:cs="Arial"/>
                <w:sz w:val="16"/>
                <w:szCs w:val="16"/>
                <w:lang w:val="bg-BG"/>
              </w:rPr>
            </w:pPr>
            <w:r>
              <w:rPr>
                <w:rFonts w:ascii="Arial" w:hAnsi="Arial" w:cs="Arial"/>
                <w:sz w:val="16"/>
                <w:szCs w:val="16"/>
                <w:lang w:val="bg-BG"/>
              </w:rPr>
              <w:t>Малка задача: 1</w:t>
            </w:r>
            <w:r w:rsidRPr="00373998">
              <w:rPr>
                <w:rFonts w:ascii="Arial" w:hAnsi="Arial" w:cs="Arial"/>
                <w:sz w:val="16"/>
                <w:szCs w:val="16"/>
                <w:lang w:val="bg-BG"/>
              </w:rPr>
              <w:t>,</w:t>
            </w:r>
            <w:r>
              <w:rPr>
                <w:rFonts w:ascii="Arial" w:hAnsi="Arial" w:cs="Arial"/>
                <w:sz w:val="16"/>
                <w:szCs w:val="16"/>
                <w:lang w:val="bg-BG"/>
              </w:rPr>
              <w:t>2 µg/m³ (0</w:t>
            </w:r>
            <w:r w:rsidRPr="00373998">
              <w:rPr>
                <w:rFonts w:ascii="Arial" w:hAnsi="Arial" w:cs="Arial"/>
                <w:sz w:val="16"/>
                <w:szCs w:val="16"/>
                <w:lang w:val="bg-BG"/>
              </w:rPr>
              <w:t>,</w:t>
            </w:r>
            <w:r w:rsidRPr="00703017">
              <w:rPr>
                <w:rFonts w:ascii="Arial" w:hAnsi="Arial" w:cs="Arial"/>
                <w:sz w:val="16"/>
                <w:szCs w:val="16"/>
                <w:lang w:val="bg-BG"/>
              </w:rPr>
              <w:t>0003)</w:t>
            </w:r>
          </w:p>
          <w:p w:rsidR="008D6E9B" w:rsidRPr="00703017" w:rsidRDefault="008D6E9B" w:rsidP="00E72338">
            <w:pPr>
              <w:rPr>
                <w:rFonts w:ascii="Arial" w:hAnsi="Arial" w:cs="Arial"/>
                <w:sz w:val="16"/>
                <w:szCs w:val="16"/>
                <w:lang w:val="bg-BG"/>
              </w:rPr>
            </w:pPr>
            <w:r>
              <w:rPr>
                <w:rFonts w:ascii="Arial" w:hAnsi="Arial" w:cs="Arial"/>
                <w:sz w:val="16"/>
                <w:szCs w:val="16"/>
                <w:lang w:val="bg-BG"/>
              </w:rPr>
              <w:t>Голяма задача: 12 µg/m³ (0</w:t>
            </w:r>
            <w:r w:rsidRPr="00373998">
              <w:rPr>
                <w:rFonts w:ascii="Arial" w:hAnsi="Arial" w:cs="Arial"/>
                <w:sz w:val="16"/>
                <w:szCs w:val="16"/>
                <w:lang w:val="bg-BG"/>
              </w:rPr>
              <w:t>,</w:t>
            </w:r>
            <w:r w:rsidRPr="00703017">
              <w:rPr>
                <w:rFonts w:ascii="Arial" w:hAnsi="Arial" w:cs="Arial"/>
                <w:sz w:val="16"/>
                <w:szCs w:val="16"/>
                <w:lang w:val="bg-BG"/>
              </w:rPr>
              <w:t>003)</w:t>
            </w:r>
          </w:p>
        </w:tc>
        <w:tc>
          <w:tcPr>
            <w:tcW w:w="5123"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Количествена оценка</w:t>
            </w:r>
          </w:p>
          <w:p w:rsidR="008D6E9B" w:rsidRPr="00703017" w:rsidRDefault="008D6E9B" w:rsidP="00E72338">
            <w:pPr>
              <w:rPr>
                <w:rFonts w:ascii="Arial" w:hAnsi="Arial" w:cs="Arial"/>
                <w:sz w:val="16"/>
                <w:szCs w:val="16"/>
                <w:lang w:val="bg-BG" w:eastAsia="de-DE"/>
              </w:rPr>
            </w:pPr>
            <w:r w:rsidRPr="00703017">
              <w:rPr>
                <w:rFonts w:ascii="Arial" w:hAnsi="Arial" w:cs="Arial"/>
                <w:sz w:val="16"/>
                <w:szCs w:val="16"/>
                <w:lang w:val="bg-BG"/>
              </w:rPr>
              <w:t>Формирането на прах при изсипване се разглежда с помощта на Холандския модел (van Hemmen, 1992, както е описан в Раздел 9.0.3.1 по-горе) и прилагане на фактор за редуциране на праха 10 за грануларната форма.</w:t>
            </w:r>
          </w:p>
        </w:tc>
      </w:tr>
      <w:tr w:rsidR="008D6E9B" w:rsidRPr="0070774F">
        <w:trPr>
          <w:cantSplit/>
          <w:jc w:val="center"/>
        </w:trPr>
        <w:tc>
          <w:tcPr>
            <w:tcW w:w="9656" w:type="dxa"/>
            <w:gridSpan w:val="19"/>
            <w:vAlign w:val="center"/>
          </w:tcPr>
          <w:p w:rsidR="008D6E9B" w:rsidRPr="00703017" w:rsidRDefault="008D6E9B" w:rsidP="00B370F7">
            <w:pPr>
              <w:rPr>
                <w:rFonts w:ascii="Arial" w:hAnsi="Arial" w:cs="Arial"/>
                <w:b/>
                <w:bCs/>
                <w:sz w:val="16"/>
                <w:szCs w:val="16"/>
                <w:lang w:val="bg-BG"/>
              </w:rPr>
            </w:pPr>
            <w:r w:rsidRPr="00703017">
              <w:rPr>
                <w:rFonts w:ascii="Arial" w:hAnsi="Arial" w:cs="Arial"/>
                <w:b/>
                <w:bCs/>
                <w:sz w:val="16"/>
                <w:szCs w:val="16"/>
                <w:lang w:val="bg-BG"/>
              </w:rPr>
              <w:t>Прилагане на варово мляко на капки към водата</w:t>
            </w:r>
          </w:p>
        </w:tc>
      </w:tr>
      <w:tr w:rsidR="008D6E9B" w:rsidRPr="00703017">
        <w:trPr>
          <w:cantSplit/>
          <w:jc w:val="center"/>
        </w:trPr>
        <w:tc>
          <w:tcPr>
            <w:tcW w:w="1700" w:type="dxa"/>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Маршрут на експозицията</w:t>
            </w:r>
          </w:p>
        </w:tc>
        <w:tc>
          <w:tcPr>
            <w:tcW w:w="2833" w:type="dxa"/>
            <w:gridSpan w:val="10"/>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Оценка на експозиция</w:t>
            </w:r>
          </w:p>
        </w:tc>
        <w:tc>
          <w:tcPr>
            <w:tcW w:w="5123" w:type="dxa"/>
            <w:gridSpan w:val="8"/>
            <w:vAlign w:val="center"/>
          </w:tcPr>
          <w:p w:rsidR="008D6E9B" w:rsidRPr="00703017" w:rsidRDefault="008D6E9B" w:rsidP="00E72338">
            <w:pPr>
              <w:rPr>
                <w:rFonts w:ascii="Arial" w:hAnsi="Arial" w:cs="Arial"/>
                <w:b/>
                <w:bCs/>
                <w:sz w:val="16"/>
                <w:szCs w:val="16"/>
                <w:lang w:val="bg-BG"/>
              </w:rPr>
            </w:pPr>
            <w:r w:rsidRPr="00703017">
              <w:rPr>
                <w:rFonts w:ascii="Arial" w:hAnsi="Arial" w:cs="Arial"/>
                <w:b/>
                <w:bCs/>
                <w:sz w:val="16"/>
                <w:szCs w:val="16"/>
                <w:lang w:val="bg-BG"/>
              </w:rPr>
              <w:t>Използван метод, коментари</w:t>
            </w:r>
          </w:p>
        </w:tc>
      </w:tr>
      <w:tr w:rsidR="008D6E9B" w:rsidRPr="0070774F">
        <w:trPr>
          <w:cantSplit/>
          <w:jc w:val="center"/>
        </w:trPr>
        <w:tc>
          <w:tcPr>
            <w:tcW w:w="1700"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Орален</w:t>
            </w:r>
          </w:p>
        </w:tc>
        <w:tc>
          <w:tcPr>
            <w:tcW w:w="2833" w:type="dxa"/>
            <w:gridSpan w:val="10"/>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w:t>
            </w:r>
          </w:p>
        </w:tc>
        <w:tc>
          <w:tcPr>
            <w:tcW w:w="5123"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Не се появява орална експозиция като част от намеренията за употреба.</w:t>
            </w:r>
          </w:p>
        </w:tc>
      </w:tr>
      <w:tr w:rsidR="008D6E9B" w:rsidRPr="0070774F">
        <w:trPr>
          <w:cantSplit/>
          <w:jc w:val="center"/>
        </w:trPr>
        <w:tc>
          <w:tcPr>
            <w:tcW w:w="1700"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Дермален</w:t>
            </w:r>
          </w:p>
        </w:tc>
        <w:tc>
          <w:tcPr>
            <w:tcW w:w="2833" w:type="dxa"/>
            <w:gridSpan w:val="10"/>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Капчици или пръски</w:t>
            </w:r>
          </w:p>
        </w:tc>
        <w:tc>
          <w:tcPr>
            <w:tcW w:w="5123"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Не могат обаче да се изключат пръски по кожата, ако не се използват защитни ръкавици. В резултат на пръските </w:t>
            </w:r>
            <w:r w:rsidRPr="00703017">
              <w:rPr>
                <w:rFonts w:ascii="Arial" w:hAnsi="Arial" w:cs="Arial"/>
                <w:color w:val="000000"/>
                <w:sz w:val="16"/>
                <w:szCs w:val="16"/>
                <w:lang w:val="bg-BG"/>
              </w:rPr>
              <w:t>може понякога да се появи леко раздразнение, което лесно се отстрани чрез бърза промивка на ръцете с вода.</w:t>
            </w:r>
          </w:p>
        </w:tc>
      </w:tr>
      <w:tr w:rsidR="008D6E9B" w:rsidRPr="0070774F">
        <w:trPr>
          <w:cantSplit/>
          <w:jc w:val="center"/>
        </w:trPr>
        <w:tc>
          <w:tcPr>
            <w:tcW w:w="1700" w:type="dxa"/>
            <w:vAlign w:val="center"/>
          </w:tcPr>
          <w:p w:rsidR="008D6E9B" w:rsidRPr="00703017" w:rsidRDefault="008D6E9B" w:rsidP="00E72338">
            <w:pPr>
              <w:rPr>
                <w:rFonts w:ascii="Arial" w:hAnsi="Arial" w:cs="Arial"/>
                <w:sz w:val="16"/>
                <w:szCs w:val="16"/>
                <w:lang w:val="bg-BG"/>
              </w:rPr>
            </w:pPr>
            <w:r w:rsidRPr="00B370F7">
              <w:rPr>
                <w:rFonts w:ascii="Arial" w:hAnsi="Arial" w:cs="Arial"/>
                <w:sz w:val="16"/>
                <w:szCs w:val="16"/>
                <w:lang w:val="bg-BG"/>
              </w:rPr>
              <w:lastRenderedPageBreak/>
              <w:t>Очи</w:t>
            </w:r>
          </w:p>
        </w:tc>
        <w:tc>
          <w:tcPr>
            <w:tcW w:w="2833" w:type="dxa"/>
            <w:gridSpan w:val="10"/>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Капчици или пръски</w:t>
            </w:r>
          </w:p>
        </w:tc>
        <w:tc>
          <w:tcPr>
            <w:tcW w:w="5123"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Ако се вземат предвид мерките за ограничаване на риска, не си очаква никаква човешка експозиция. Не могат обаче да се изключат пръски в обите, ако не се използват защитни очила.</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 xml:space="preserve">Рядкост е обаче появата на раздразнение на очите в резултат на експозиция на бистър разтвор на калциев хидроксид (варова вода), а леките раздразнения могат лесно да се преодолеят чрез </w:t>
            </w:r>
            <w:r w:rsidRPr="00703017">
              <w:rPr>
                <w:rFonts w:ascii="Arial" w:hAnsi="Arial" w:cs="Arial"/>
                <w:color w:val="000000"/>
                <w:sz w:val="16"/>
                <w:szCs w:val="16"/>
                <w:lang w:val="bg-BG"/>
              </w:rPr>
              <w:t>незабавна</w:t>
            </w:r>
            <w:r w:rsidRPr="00703017">
              <w:rPr>
                <w:rFonts w:ascii="Arial" w:hAnsi="Arial" w:cs="Arial"/>
                <w:sz w:val="16"/>
                <w:szCs w:val="16"/>
                <w:lang w:val="bg-BG"/>
              </w:rPr>
              <w:t xml:space="preserve"> промивка на очите с вода.</w:t>
            </w:r>
          </w:p>
        </w:tc>
      </w:tr>
      <w:tr w:rsidR="008D6E9B" w:rsidRPr="0070774F">
        <w:trPr>
          <w:cantSplit/>
          <w:jc w:val="center"/>
        </w:trPr>
        <w:tc>
          <w:tcPr>
            <w:tcW w:w="1700" w:type="dxa"/>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Вдишване</w:t>
            </w:r>
          </w:p>
        </w:tc>
        <w:tc>
          <w:tcPr>
            <w:tcW w:w="2833" w:type="dxa"/>
            <w:gridSpan w:val="10"/>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w:t>
            </w:r>
          </w:p>
        </w:tc>
        <w:tc>
          <w:tcPr>
            <w:tcW w:w="5123" w:type="dxa"/>
            <w:gridSpan w:val="8"/>
            <w:vAlign w:val="center"/>
          </w:tcPr>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D6E9B" w:rsidRPr="00703017" w:rsidRDefault="008D6E9B" w:rsidP="00E72338">
            <w:pPr>
              <w:rPr>
                <w:rFonts w:ascii="Arial" w:hAnsi="Arial" w:cs="Arial"/>
                <w:sz w:val="16"/>
                <w:szCs w:val="16"/>
                <w:lang w:val="bg-BG"/>
              </w:rPr>
            </w:pPr>
            <w:r w:rsidRPr="00703017">
              <w:rPr>
                <w:rFonts w:ascii="Arial" w:hAnsi="Arial" w:cs="Arial"/>
                <w:sz w:val="16"/>
                <w:szCs w:val="16"/>
                <w:lang w:val="bg-BG"/>
              </w:rPr>
              <w:t>Не се очаква, тъй като парното налягане на варовиците е ниско и генериране на мъгла или аерозоли не се получава.</w:t>
            </w:r>
          </w:p>
        </w:tc>
      </w:tr>
      <w:tr w:rsidR="008D6E9B" w:rsidRPr="00703017">
        <w:trPr>
          <w:cantSplit/>
          <w:jc w:val="center"/>
        </w:trPr>
        <w:tc>
          <w:tcPr>
            <w:tcW w:w="9656" w:type="dxa"/>
            <w:gridSpan w:val="19"/>
            <w:shd w:val="clear" w:color="auto" w:fill="BFBFBF"/>
            <w:vAlign w:val="center"/>
          </w:tcPr>
          <w:p w:rsidR="008D6E9B" w:rsidRPr="00703017" w:rsidRDefault="008D6E9B" w:rsidP="00E72338">
            <w:pPr>
              <w:keepNext/>
              <w:rPr>
                <w:rFonts w:ascii="Arial" w:hAnsi="Arial" w:cs="Arial"/>
                <w:b/>
                <w:bCs/>
                <w:sz w:val="16"/>
                <w:szCs w:val="16"/>
                <w:lang w:val="bg-BG"/>
              </w:rPr>
            </w:pPr>
            <w:r w:rsidRPr="00703017">
              <w:rPr>
                <w:rFonts w:ascii="Arial" w:hAnsi="Arial" w:cs="Arial"/>
                <w:b/>
                <w:bCs/>
                <w:sz w:val="16"/>
                <w:szCs w:val="16"/>
                <w:lang w:val="bg-BG"/>
              </w:rPr>
              <w:t>Експозиция за околната среда</w:t>
            </w:r>
          </w:p>
        </w:tc>
      </w:tr>
      <w:tr w:rsidR="008D6E9B" w:rsidRPr="0070774F">
        <w:trPr>
          <w:cantSplit/>
          <w:jc w:val="center"/>
        </w:trPr>
        <w:tc>
          <w:tcPr>
            <w:tcW w:w="9656" w:type="dxa"/>
            <w:gridSpan w:val="19"/>
            <w:vAlign w:val="center"/>
          </w:tcPr>
          <w:p w:rsidR="008D6E9B" w:rsidRPr="00703017" w:rsidRDefault="008D6E9B" w:rsidP="00E72338">
            <w:pPr>
              <w:rPr>
                <w:rFonts w:ascii="Arial" w:hAnsi="Arial" w:cs="Arial"/>
                <w:b/>
                <w:bCs/>
                <w:sz w:val="16"/>
                <w:szCs w:val="16"/>
                <w:lang w:val="bg-BG"/>
              </w:rPr>
            </w:pPr>
            <w:r w:rsidRPr="00703017">
              <w:rPr>
                <w:rFonts w:ascii="Arial" w:hAnsi="Arial" w:cs="Arial"/>
                <w:sz w:val="16"/>
                <w:szCs w:val="16"/>
                <w:lang w:val="bg-BG"/>
              </w:rPr>
              <w:t xml:space="preserve">Влиянието на pH при използване на вар в козметиката се очаква да е незначително. Входните води на общинските ПСОВ често се неутрализират тъй или иначе, а варта може дори да се използва по един полезен начин за контрол на pH на киселинните потоци отпадни води, които се обработват в биологичните ПСОВ. Тъй като pH на входните води на общинските ПСОВ е почти неутрално, pH влиянието върху приемната околна среда е незначително, както в повърхностните води, така и в седимента и сухоземната част. </w:t>
            </w:r>
          </w:p>
        </w:tc>
      </w:tr>
    </w:tbl>
    <w:p w:rsidR="008D6E9B" w:rsidRPr="00703017" w:rsidRDefault="008D6E9B" w:rsidP="009C64DB">
      <w:pPr>
        <w:rPr>
          <w:lang w:val="bg-BG"/>
        </w:rPr>
      </w:pPr>
    </w:p>
    <w:p w:rsidR="008D6E9B" w:rsidRPr="00703017" w:rsidRDefault="008D6E9B" w:rsidP="009C64DB">
      <w:pPr>
        <w:keepNext/>
        <w:pageBreakBefore/>
        <w:tabs>
          <w:tab w:val="left" w:pos="1418"/>
        </w:tabs>
        <w:spacing w:before="240" w:after="60"/>
        <w:jc w:val="both"/>
        <w:outlineLvl w:val="1"/>
        <w:rPr>
          <w:rFonts w:ascii="Arial" w:hAnsi="Arial" w:cs="Arial"/>
          <w:b/>
          <w:bCs/>
          <w:sz w:val="28"/>
          <w:szCs w:val="28"/>
          <w:lang w:val="bg-BG"/>
        </w:rPr>
      </w:pPr>
      <w:bookmarkStart w:id="30" w:name="_Ref270424871"/>
      <w:bookmarkStart w:id="31" w:name="_Toc270425147"/>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16: Консумативна употреба на козметика, съдържаща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bookmarkEnd w:id="30"/>
      <w:bookmarkEnd w:id="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335"/>
        <w:gridCol w:w="5460"/>
      </w:tblGrid>
      <w:tr w:rsidR="008D6E9B" w:rsidRPr="0070774F">
        <w:trPr>
          <w:cantSplit/>
          <w:jc w:val="center"/>
        </w:trPr>
        <w:tc>
          <w:tcPr>
            <w:tcW w:w="9656" w:type="dxa"/>
            <w:gridSpan w:val="3"/>
            <w:shd w:val="clear" w:color="auto" w:fill="00FFFF"/>
            <w:vAlign w:val="center"/>
          </w:tcPr>
          <w:p w:rsidR="008D6E9B" w:rsidRPr="00703017" w:rsidRDefault="008D6E9B" w:rsidP="00E72338">
            <w:pPr>
              <w:spacing w:line="240" w:lineRule="auto"/>
              <w:rPr>
                <w:rFonts w:ascii="Arial" w:hAnsi="Arial" w:cs="Arial"/>
                <w:b/>
                <w:bCs/>
                <w:i/>
                <w:iCs/>
                <w:color w:val="0000FF"/>
                <w:sz w:val="20"/>
                <w:szCs w:val="20"/>
                <w:lang w:val="bg-BG"/>
              </w:rPr>
            </w:pPr>
            <w:r w:rsidRPr="00703017">
              <w:rPr>
                <w:rFonts w:ascii="Arial" w:hAnsi="Arial" w:cs="Arial"/>
                <w:b/>
                <w:bCs/>
                <w:sz w:val="20"/>
                <w:szCs w:val="20"/>
                <w:lang w:val="bg-BG"/>
              </w:rPr>
              <w:br w:type="page"/>
            </w:r>
            <w:r w:rsidRPr="00703017">
              <w:rPr>
                <w:rFonts w:ascii="Arial" w:hAnsi="Arial" w:cs="Arial"/>
                <w:b/>
                <w:bCs/>
                <w:i/>
                <w:iCs/>
                <w:color w:val="0000FF"/>
                <w:sz w:val="20"/>
                <w:szCs w:val="20"/>
                <w:lang w:val="bg-BG"/>
              </w:rPr>
              <w:t>Формат на сценарий на експозиция (2), посветен на начините на употреба от потребители</w:t>
            </w:r>
          </w:p>
        </w:tc>
      </w:tr>
      <w:tr w:rsidR="008D6E9B" w:rsidRPr="00703017">
        <w:trPr>
          <w:cantSplit/>
          <w:jc w:val="center"/>
        </w:trPr>
        <w:tc>
          <w:tcPr>
            <w:tcW w:w="9656" w:type="dxa"/>
            <w:gridSpan w:val="3"/>
            <w:shd w:val="clear" w:color="auto" w:fill="00FFFF"/>
            <w:vAlign w:val="center"/>
          </w:tcPr>
          <w:p w:rsidR="008D6E9B" w:rsidRPr="00703017" w:rsidRDefault="008D6E9B"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lang w:val="bg-BG"/>
              </w:rPr>
              <w:t>1. Заглавие</w:t>
            </w:r>
          </w:p>
        </w:tc>
      </w:tr>
      <w:tr w:rsidR="008D6E9B" w:rsidRPr="0070774F">
        <w:trPr>
          <w:cantSplit/>
          <w:jc w:val="center"/>
        </w:trPr>
        <w:tc>
          <w:tcPr>
            <w:tcW w:w="3835" w:type="dxa"/>
            <w:gridSpan w:val="2"/>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Кратко свободно заглавие</w:t>
            </w:r>
          </w:p>
        </w:tc>
        <w:tc>
          <w:tcPr>
            <w:tcW w:w="5821" w:type="dxa"/>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Консумативна употреба на козметика, съдържаща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D6E9B" w:rsidRPr="00703017">
        <w:trPr>
          <w:cantSplit/>
          <w:jc w:val="center"/>
        </w:trPr>
        <w:tc>
          <w:tcPr>
            <w:tcW w:w="3835" w:type="dxa"/>
            <w:gridSpan w:val="2"/>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Систематично заглавие на основата на дескриптора на употребите</w:t>
            </w:r>
          </w:p>
        </w:tc>
        <w:tc>
          <w:tcPr>
            <w:tcW w:w="5821" w:type="dxa"/>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SU21, PC39, ERC8a</w:t>
            </w:r>
          </w:p>
        </w:tc>
      </w:tr>
      <w:tr w:rsidR="008D6E9B" w:rsidRPr="00703017">
        <w:trPr>
          <w:cantSplit/>
          <w:jc w:val="center"/>
        </w:trPr>
        <w:tc>
          <w:tcPr>
            <w:tcW w:w="3835" w:type="dxa"/>
            <w:gridSpan w:val="2"/>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 xml:space="preserve">Покриване процеси, задачи, дейности </w:t>
            </w:r>
          </w:p>
        </w:tc>
        <w:tc>
          <w:tcPr>
            <w:tcW w:w="5821" w:type="dxa"/>
            <w:vAlign w:val="center"/>
          </w:tcPr>
          <w:p w:rsidR="008D6E9B" w:rsidRPr="00703017" w:rsidRDefault="008D6E9B" w:rsidP="00E72338">
            <w:pPr>
              <w:spacing w:line="240" w:lineRule="auto"/>
              <w:rPr>
                <w:rFonts w:ascii="Arial" w:hAnsi="Arial" w:cs="Arial"/>
                <w:i/>
                <w:iCs/>
                <w:sz w:val="16"/>
                <w:szCs w:val="16"/>
                <w:lang w:val="bg-BG"/>
              </w:rPr>
            </w:pPr>
            <w:r w:rsidRPr="00703017">
              <w:rPr>
                <w:rFonts w:ascii="Arial" w:hAnsi="Arial" w:cs="Arial"/>
                <w:i/>
                <w:iCs/>
                <w:sz w:val="16"/>
                <w:szCs w:val="16"/>
                <w:lang w:val="bg-BG"/>
              </w:rPr>
              <w:t>-</w:t>
            </w:r>
          </w:p>
        </w:tc>
      </w:tr>
      <w:tr w:rsidR="008D6E9B" w:rsidRPr="0070774F">
        <w:trPr>
          <w:cantSplit/>
          <w:jc w:val="center"/>
        </w:trPr>
        <w:tc>
          <w:tcPr>
            <w:tcW w:w="3835" w:type="dxa"/>
            <w:gridSpan w:val="2"/>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Метод на оценка*</w:t>
            </w:r>
          </w:p>
        </w:tc>
        <w:tc>
          <w:tcPr>
            <w:tcW w:w="5821" w:type="dxa"/>
            <w:vAlign w:val="center"/>
          </w:tcPr>
          <w:p w:rsidR="008D6E9B" w:rsidRPr="00703017" w:rsidRDefault="008D6E9B" w:rsidP="00E72338">
            <w:pPr>
              <w:spacing w:line="240" w:lineRule="auto"/>
              <w:rPr>
                <w:rFonts w:ascii="Arial" w:hAnsi="Arial" w:cs="Arial"/>
                <w:sz w:val="16"/>
                <w:szCs w:val="16"/>
                <w:lang w:val="bg-BG"/>
              </w:rPr>
            </w:pPr>
            <w:bookmarkStart w:id="32" w:name="_Toc262140499"/>
            <w:r w:rsidRPr="00703017">
              <w:rPr>
                <w:rFonts w:ascii="Arial" w:hAnsi="Arial" w:cs="Arial"/>
                <w:sz w:val="16"/>
                <w:szCs w:val="16"/>
                <w:lang w:val="bg-BG"/>
              </w:rPr>
              <w:t>Човешкото здраве:</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Съгласно Член 14(5) (b) на Регламент (EC) 1907/2006, трябва да се прецени рискът за човешкото здраве от веществата, съдържащи се в козметичните продукти в обхвата на Директива 76/768/EC.</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Околна среда</w:t>
            </w:r>
          </w:p>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Предлага се оценка с качествена обосновка.</w:t>
            </w:r>
            <w:bookmarkEnd w:id="32"/>
          </w:p>
        </w:tc>
      </w:tr>
      <w:tr w:rsidR="008D6E9B" w:rsidRPr="0070774F">
        <w:trPr>
          <w:cantSplit/>
          <w:jc w:val="center"/>
        </w:trPr>
        <w:tc>
          <w:tcPr>
            <w:tcW w:w="9656" w:type="dxa"/>
            <w:gridSpan w:val="3"/>
            <w:shd w:val="clear" w:color="auto" w:fill="00FFFF"/>
            <w:vAlign w:val="center"/>
          </w:tcPr>
          <w:p w:rsidR="008D6E9B" w:rsidRPr="00703017" w:rsidRDefault="008D6E9B"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lang w:val="bg-BG"/>
              </w:rPr>
              <w:t>2. Работни условия и мерки за управление на риска</w:t>
            </w:r>
          </w:p>
        </w:tc>
      </w:tr>
      <w:tr w:rsidR="008D6E9B" w:rsidRPr="0070774F">
        <w:trPr>
          <w:cantSplit/>
          <w:jc w:val="center"/>
        </w:trPr>
        <w:tc>
          <w:tcPr>
            <w:tcW w:w="2408" w:type="dxa"/>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ERC 8a</w:t>
            </w:r>
          </w:p>
        </w:tc>
        <w:tc>
          <w:tcPr>
            <w:tcW w:w="7248" w:type="dxa"/>
            <w:gridSpan w:val="2"/>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Широко разпространена употреба на закрито на помощни средства в отворени системи</w:t>
            </w:r>
          </w:p>
        </w:tc>
      </w:tr>
      <w:tr w:rsidR="008D6E9B" w:rsidRPr="0070774F">
        <w:trPr>
          <w:cantSplit/>
          <w:jc w:val="center"/>
        </w:trPr>
        <w:tc>
          <w:tcPr>
            <w:tcW w:w="9656" w:type="dxa"/>
            <w:gridSpan w:val="3"/>
            <w:shd w:val="clear" w:color="auto" w:fill="00FFFF"/>
            <w:vAlign w:val="center"/>
          </w:tcPr>
          <w:p w:rsidR="008D6E9B" w:rsidRPr="00703017" w:rsidRDefault="008D6E9B"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highlight w:val="cyan"/>
                <w:lang w:val="bg-BG"/>
              </w:rPr>
              <w:t>2.1 Контрол на експозицията на потребителите</w:t>
            </w:r>
          </w:p>
        </w:tc>
      </w:tr>
      <w:tr w:rsidR="008D6E9B" w:rsidRPr="00703017">
        <w:trPr>
          <w:cantSplit/>
          <w:jc w:val="center"/>
        </w:trPr>
        <w:tc>
          <w:tcPr>
            <w:tcW w:w="9656" w:type="dxa"/>
            <w:gridSpan w:val="3"/>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Характеристика на продукта</w:t>
            </w:r>
          </w:p>
        </w:tc>
      </w:tr>
      <w:tr w:rsidR="008D6E9B" w:rsidRPr="00703017">
        <w:trPr>
          <w:cantSplit/>
          <w:jc w:val="center"/>
        </w:trPr>
        <w:tc>
          <w:tcPr>
            <w:tcW w:w="9656"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тъй като рискът за човешкото здраве при този начин</w:t>
            </w:r>
            <w:r>
              <w:rPr>
                <w:rFonts w:ascii="Arial" w:hAnsi="Arial" w:cs="Arial"/>
                <w:sz w:val="16"/>
                <w:szCs w:val="16"/>
                <w:lang w:val="bg-BG"/>
              </w:rPr>
              <w:t xml:space="preserve"> на употреба не е необходимо да</w:t>
            </w:r>
            <w:r w:rsidRPr="000F73D8">
              <w:rPr>
                <w:rFonts w:ascii="Arial" w:hAnsi="Arial" w:cs="Arial"/>
                <w:sz w:val="16"/>
                <w:szCs w:val="16"/>
              </w:rPr>
              <w:t xml:space="preserve"> </w:t>
            </w:r>
            <w:r w:rsidRPr="00703017">
              <w:rPr>
                <w:rFonts w:ascii="Arial" w:hAnsi="Arial" w:cs="Arial"/>
                <w:sz w:val="16"/>
                <w:szCs w:val="16"/>
                <w:lang w:val="bg-BG"/>
              </w:rPr>
              <w:t>се разглежда.</w:t>
            </w:r>
          </w:p>
        </w:tc>
      </w:tr>
      <w:tr w:rsidR="008D6E9B" w:rsidRPr="00703017">
        <w:trPr>
          <w:cantSplit/>
          <w:jc w:val="center"/>
        </w:trPr>
        <w:tc>
          <w:tcPr>
            <w:tcW w:w="9656" w:type="dxa"/>
            <w:gridSpan w:val="3"/>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Използвани количества</w:t>
            </w:r>
          </w:p>
        </w:tc>
      </w:tr>
      <w:tr w:rsidR="008D6E9B" w:rsidRPr="00703017">
        <w:trPr>
          <w:cantSplit/>
          <w:jc w:val="center"/>
        </w:trPr>
        <w:tc>
          <w:tcPr>
            <w:tcW w:w="9656"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тъй като рискът за човешкото здраве при този начин</w:t>
            </w:r>
            <w:r>
              <w:rPr>
                <w:rFonts w:ascii="Arial" w:hAnsi="Arial" w:cs="Arial"/>
                <w:sz w:val="16"/>
                <w:szCs w:val="16"/>
                <w:lang w:val="bg-BG"/>
              </w:rPr>
              <w:t xml:space="preserve"> на употреба не е необходимо да</w:t>
            </w:r>
            <w:r w:rsidRPr="000F73D8">
              <w:rPr>
                <w:rFonts w:ascii="Arial" w:hAnsi="Arial" w:cs="Arial"/>
                <w:sz w:val="16"/>
                <w:szCs w:val="16"/>
              </w:rPr>
              <w:t xml:space="preserve"> </w:t>
            </w:r>
            <w:r w:rsidRPr="00703017">
              <w:rPr>
                <w:rFonts w:ascii="Arial" w:hAnsi="Arial" w:cs="Arial"/>
                <w:sz w:val="16"/>
                <w:szCs w:val="16"/>
                <w:lang w:val="bg-BG"/>
              </w:rPr>
              <w:t>се разглежда.</w:t>
            </w:r>
          </w:p>
        </w:tc>
      </w:tr>
      <w:tr w:rsidR="008D6E9B" w:rsidRPr="00703017">
        <w:trPr>
          <w:cantSplit/>
          <w:jc w:val="center"/>
        </w:trPr>
        <w:tc>
          <w:tcPr>
            <w:tcW w:w="9656" w:type="dxa"/>
            <w:gridSpan w:val="3"/>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Честота и продължителност на употребата/експозицията</w:t>
            </w:r>
          </w:p>
        </w:tc>
      </w:tr>
      <w:tr w:rsidR="008D6E9B" w:rsidRPr="00703017">
        <w:trPr>
          <w:cantSplit/>
          <w:jc w:val="center"/>
        </w:trPr>
        <w:tc>
          <w:tcPr>
            <w:tcW w:w="9656"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тъй като рискът за човешкото здраве при този начин на употреба не е необх</w:t>
            </w:r>
            <w:r>
              <w:rPr>
                <w:rFonts w:ascii="Arial" w:hAnsi="Arial" w:cs="Arial"/>
                <w:sz w:val="16"/>
                <w:szCs w:val="16"/>
                <w:lang w:val="bg-BG"/>
              </w:rPr>
              <w:t>одимо да</w:t>
            </w:r>
            <w:r w:rsidRPr="000F73D8">
              <w:rPr>
                <w:rFonts w:ascii="Arial" w:hAnsi="Arial" w:cs="Arial"/>
                <w:sz w:val="16"/>
                <w:szCs w:val="16"/>
              </w:rPr>
              <w:t xml:space="preserve"> </w:t>
            </w:r>
            <w:r w:rsidRPr="00703017">
              <w:rPr>
                <w:rFonts w:ascii="Arial" w:hAnsi="Arial" w:cs="Arial"/>
                <w:sz w:val="16"/>
                <w:szCs w:val="16"/>
                <w:lang w:val="bg-BG"/>
              </w:rPr>
              <w:t>се разглежда.</w:t>
            </w:r>
          </w:p>
        </w:tc>
      </w:tr>
      <w:tr w:rsidR="008D6E9B" w:rsidRPr="00703017">
        <w:trPr>
          <w:cantSplit/>
          <w:jc w:val="center"/>
        </w:trPr>
        <w:tc>
          <w:tcPr>
            <w:tcW w:w="9656" w:type="dxa"/>
            <w:gridSpan w:val="3"/>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 xml:space="preserve">Човешки фактори, които не се влияят от управлението на риска  </w:t>
            </w:r>
          </w:p>
        </w:tc>
      </w:tr>
      <w:tr w:rsidR="008D6E9B" w:rsidRPr="00703017">
        <w:trPr>
          <w:cantSplit/>
          <w:jc w:val="center"/>
        </w:trPr>
        <w:tc>
          <w:tcPr>
            <w:tcW w:w="9656"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тъй като рискът за човешкото здраве при този начин</w:t>
            </w:r>
            <w:r>
              <w:rPr>
                <w:rFonts w:ascii="Arial" w:hAnsi="Arial" w:cs="Arial"/>
                <w:sz w:val="16"/>
                <w:szCs w:val="16"/>
                <w:lang w:val="bg-BG"/>
              </w:rPr>
              <w:t xml:space="preserve"> на употреба не е необходимо да</w:t>
            </w:r>
            <w:r w:rsidRPr="000F73D8">
              <w:rPr>
                <w:rFonts w:ascii="Arial" w:hAnsi="Arial" w:cs="Arial"/>
                <w:sz w:val="16"/>
                <w:szCs w:val="16"/>
              </w:rPr>
              <w:t xml:space="preserve"> </w:t>
            </w:r>
            <w:r w:rsidRPr="00703017">
              <w:rPr>
                <w:rFonts w:ascii="Arial" w:hAnsi="Arial" w:cs="Arial"/>
                <w:sz w:val="16"/>
                <w:szCs w:val="16"/>
                <w:lang w:val="bg-BG"/>
              </w:rPr>
              <w:t>се разглежда.</w:t>
            </w:r>
          </w:p>
        </w:tc>
      </w:tr>
      <w:tr w:rsidR="008D6E9B" w:rsidRPr="00703017">
        <w:trPr>
          <w:cantSplit/>
          <w:jc w:val="center"/>
        </w:trPr>
        <w:tc>
          <w:tcPr>
            <w:tcW w:w="9656" w:type="dxa"/>
            <w:gridSpan w:val="3"/>
            <w:shd w:val="clear" w:color="auto" w:fill="C0C0C0"/>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потребителите</w:t>
            </w:r>
          </w:p>
        </w:tc>
      </w:tr>
      <w:tr w:rsidR="008D6E9B" w:rsidRPr="00703017">
        <w:trPr>
          <w:cantSplit/>
          <w:jc w:val="center"/>
        </w:trPr>
        <w:tc>
          <w:tcPr>
            <w:tcW w:w="9656"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тъй като рискът за човешкото здраве при този начин</w:t>
            </w:r>
            <w:r>
              <w:rPr>
                <w:rFonts w:ascii="Arial" w:hAnsi="Arial" w:cs="Arial"/>
                <w:sz w:val="16"/>
                <w:szCs w:val="16"/>
                <w:lang w:val="bg-BG"/>
              </w:rPr>
              <w:t xml:space="preserve"> на употреба не е необходимо да</w:t>
            </w:r>
            <w:r w:rsidRPr="000F73D8">
              <w:rPr>
                <w:rFonts w:ascii="Arial" w:hAnsi="Arial" w:cs="Arial"/>
                <w:sz w:val="16"/>
                <w:szCs w:val="16"/>
              </w:rPr>
              <w:t xml:space="preserve"> </w:t>
            </w:r>
            <w:r w:rsidRPr="00703017">
              <w:rPr>
                <w:rFonts w:ascii="Arial" w:hAnsi="Arial" w:cs="Arial"/>
                <w:sz w:val="16"/>
                <w:szCs w:val="16"/>
                <w:lang w:val="bg-BG"/>
              </w:rPr>
              <w:t>се разглежда.</w:t>
            </w:r>
          </w:p>
        </w:tc>
      </w:tr>
      <w:tr w:rsidR="008D6E9B" w:rsidRPr="00703017">
        <w:trPr>
          <w:cantSplit/>
          <w:jc w:val="center"/>
        </w:trPr>
        <w:tc>
          <w:tcPr>
            <w:tcW w:w="9656" w:type="dxa"/>
            <w:gridSpan w:val="3"/>
            <w:shd w:val="clear" w:color="auto" w:fill="C0C0C0"/>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 xml:space="preserve">Условия и мерки за информиране и съвети за поведението на потребителя </w:t>
            </w:r>
          </w:p>
        </w:tc>
      </w:tr>
      <w:tr w:rsidR="008D6E9B" w:rsidRPr="00703017">
        <w:trPr>
          <w:cantSplit/>
          <w:jc w:val="center"/>
        </w:trPr>
        <w:tc>
          <w:tcPr>
            <w:tcW w:w="9656"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тъй като рискът за човешкото здраве при този начин</w:t>
            </w:r>
            <w:r>
              <w:rPr>
                <w:rFonts w:ascii="Arial" w:hAnsi="Arial" w:cs="Arial"/>
                <w:sz w:val="16"/>
                <w:szCs w:val="16"/>
                <w:lang w:val="bg-BG"/>
              </w:rPr>
              <w:t xml:space="preserve"> на употреба не е необходимо да</w:t>
            </w:r>
            <w:r w:rsidRPr="000F73D8">
              <w:rPr>
                <w:rFonts w:ascii="Arial" w:hAnsi="Arial" w:cs="Arial"/>
                <w:sz w:val="16"/>
                <w:szCs w:val="16"/>
              </w:rPr>
              <w:t xml:space="preserve"> </w:t>
            </w:r>
            <w:r w:rsidRPr="00703017">
              <w:rPr>
                <w:rFonts w:ascii="Arial" w:hAnsi="Arial" w:cs="Arial"/>
                <w:sz w:val="16"/>
                <w:szCs w:val="16"/>
                <w:lang w:val="bg-BG"/>
              </w:rPr>
              <w:t>се разглежда.</w:t>
            </w:r>
          </w:p>
        </w:tc>
      </w:tr>
      <w:tr w:rsidR="008D6E9B" w:rsidRPr="00703017">
        <w:trPr>
          <w:cantSplit/>
          <w:jc w:val="center"/>
        </w:trPr>
        <w:tc>
          <w:tcPr>
            <w:tcW w:w="9656" w:type="dxa"/>
            <w:gridSpan w:val="3"/>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за лична защита и хигиена</w:t>
            </w:r>
          </w:p>
        </w:tc>
      </w:tr>
      <w:tr w:rsidR="008D6E9B" w:rsidRPr="00703017">
        <w:trPr>
          <w:cantSplit/>
          <w:jc w:val="center"/>
        </w:trPr>
        <w:tc>
          <w:tcPr>
            <w:tcW w:w="9656"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тъй като рискът за човешкото здраве при този начин</w:t>
            </w:r>
            <w:r>
              <w:rPr>
                <w:rFonts w:ascii="Arial" w:hAnsi="Arial" w:cs="Arial"/>
                <w:sz w:val="16"/>
                <w:szCs w:val="16"/>
                <w:lang w:val="bg-BG"/>
              </w:rPr>
              <w:t xml:space="preserve"> на употреба не е необходимо да</w:t>
            </w:r>
            <w:r w:rsidRPr="000F73D8">
              <w:rPr>
                <w:rFonts w:ascii="Arial" w:hAnsi="Arial" w:cs="Arial"/>
                <w:sz w:val="16"/>
                <w:szCs w:val="16"/>
              </w:rPr>
              <w:t xml:space="preserve"> </w:t>
            </w:r>
            <w:r w:rsidRPr="00703017">
              <w:rPr>
                <w:rFonts w:ascii="Arial" w:hAnsi="Arial" w:cs="Arial"/>
                <w:sz w:val="16"/>
                <w:szCs w:val="16"/>
                <w:lang w:val="bg-BG"/>
              </w:rPr>
              <w:t>се разглежда.</w:t>
            </w:r>
          </w:p>
        </w:tc>
      </w:tr>
      <w:tr w:rsidR="008D6E9B" w:rsidRPr="00703017">
        <w:trPr>
          <w:cantSplit/>
          <w:jc w:val="center"/>
        </w:trPr>
        <w:tc>
          <w:tcPr>
            <w:tcW w:w="9656" w:type="dxa"/>
            <w:gridSpan w:val="3"/>
            <w:shd w:val="clear" w:color="auto" w:fill="00FFFF"/>
            <w:vAlign w:val="center"/>
          </w:tcPr>
          <w:p w:rsidR="008D6E9B" w:rsidRPr="00703017" w:rsidRDefault="008D6E9B"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lang w:val="bg-BG"/>
              </w:rPr>
              <w:t>2.2 Контрол на експозицията за околната среда</w:t>
            </w:r>
          </w:p>
        </w:tc>
      </w:tr>
      <w:tr w:rsidR="008D6E9B" w:rsidRPr="00703017">
        <w:trPr>
          <w:cantSplit/>
          <w:jc w:val="center"/>
        </w:trPr>
        <w:tc>
          <w:tcPr>
            <w:tcW w:w="9656" w:type="dxa"/>
            <w:gridSpan w:val="3"/>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Характеристика на продукта</w:t>
            </w:r>
          </w:p>
        </w:tc>
      </w:tr>
      <w:tr w:rsidR="008D6E9B" w:rsidRPr="00703017">
        <w:trPr>
          <w:cantSplit/>
          <w:jc w:val="center"/>
        </w:trPr>
        <w:tc>
          <w:tcPr>
            <w:tcW w:w="9656"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3"/>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Използвани количества*</w:t>
            </w:r>
          </w:p>
        </w:tc>
      </w:tr>
      <w:tr w:rsidR="008D6E9B" w:rsidRPr="00703017">
        <w:trPr>
          <w:cantSplit/>
          <w:jc w:val="center"/>
        </w:trPr>
        <w:tc>
          <w:tcPr>
            <w:tcW w:w="9656" w:type="dxa"/>
            <w:gridSpan w:val="3"/>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3"/>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Честота и продължителност на употребата</w:t>
            </w:r>
          </w:p>
        </w:tc>
      </w:tr>
      <w:tr w:rsidR="008D6E9B" w:rsidRPr="00703017">
        <w:trPr>
          <w:cantSplit/>
          <w:jc w:val="center"/>
        </w:trPr>
        <w:tc>
          <w:tcPr>
            <w:tcW w:w="9656" w:type="dxa"/>
            <w:gridSpan w:val="3"/>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3"/>
            <w:shd w:val="clear" w:color="auto" w:fill="CCCCCC"/>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 xml:space="preserve">Фактори на околната среда, които не се влияят от управлението на риска  </w:t>
            </w:r>
          </w:p>
        </w:tc>
      </w:tr>
      <w:tr w:rsidR="008D6E9B" w:rsidRPr="00703017">
        <w:trPr>
          <w:cantSplit/>
          <w:jc w:val="center"/>
        </w:trPr>
        <w:tc>
          <w:tcPr>
            <w:tcW w:w="9656"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Речен поток по презумпция и разливане</w:t>
            </w:r>
          </w:p>
        </w:tc>
      </w:tr>
      <w:tr w:rsidR="008D6E9B" w:rsidRPr="00703017">
        <w:trPr>
          <w:cantSplit/>
          <w:jc w:val="center"/>
        </w:trPr>
        <w:tc>
          <w:tcPr>
            <w:tcW w:w="9656" w:type="dxa"/>
            <w:gridSpan w:val="3"/>
            <w:shd w:val="clear" w:color="auto" w:fill="C0C0C0"/>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D6E9B" w:rsidRPr="00703017">
        <w:trPr>
          <w:cantSplit/>
          <w:jc w:val="center"/>
        </w:trPr>
        <w:tc>
          <w:tcPr>
            <w:tcW w:w="9656"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Вътре</w:t>
            </w:r>
          </w:p>
        </w:tc>
      </w:tr>
      <w:tr w:rsidR="008D6E9B" w:rsidRPr="00703017">
        <w:trPr>
          <w:cantSplit/>
          <w:jc w:val="center"/>
        </w:trPr>
        <w:tc>
          <w:tcPr>
            <w:tcW w:w="9656" w:type="dxa"/>
            <w:gridSpan w:val="3"/>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свързани с общинските ПСОВ</w:t>
            </w:r>
          </w:p>
        </w:tc>
      </w:tr>
      <w:tr w:rsidR="008D6E9B" w:rsidRPr="00703017">
        <w:trPr>
          <w:cantSplit/>
          <w:jc w:val="center"/>
        </w:trPr>
        <w:tc>
          <w:tcPr>
            <w:tcW w:w="9656"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 xml:space="preserve">Размер по презумпция на общинската канализационна система/ПСОВ и техника за обработване на утайката </w:t>
            </w:r>
          </w:p>
        </w:tc>
      </w:tr>
      <w:tr w:rsidR="008D6E9B" w:rsidRPr="00703017">
        <w:trPr>
          <w:cantSplit/>
          <w:jc w:val="center"/>
        </w:trPr>
        <w:tc>
          <w:tcPr>
            <w:tcW w:w="9656" w:type="dxa"/>
            <w:gridSpan w:val="3"/>
            <w:shd w:val="clear" w:color="auto" w:fill="C0C0C0"/>
            <w:vAlign w:val="center"/>
          </w:tcPr>
          <w:p w:rsidR="008D6E9B" w:rsidRPr="00703017" w:rsidRDefault="008D6E9B"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 xml:space="preserve">Условия и мерки, свързани с външното третиране на отпадъците за депониране </w:t>
            </w:r>
          </w:p>
        </w:tc>
      </w:tr>
      <w:tr w:rsidR="008D6E9B" w:rsidRPr="00703017">
        <w:trPr>
          <w:cantSplit/>
          <w:jc w:val="center"/>
        </w:trPr>
        <w:tc>
          <w:tcPr>
            <w:tcW w:w="9656" w:type="dxa"/>
            <w:gridSpan w:val="3"/>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3"/>
            <w:shd w:val="clear" w:color="auto" w:fill="C0C0C0"/>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Условия и мерки, свързани с външното регенериране на отпадъците</w:t>
            </w:r>
          </w:p>
        </w:tc>
      </w:tr>
      <w:tr w:rsidR="008D6E9B" w:rsidRPr="00703017">
        <w:trPr>
          <w:cantSplit/>
          <w:jc w:val="center"/>
        </w:trPr>
        <w:tc>
          <w:tcPr>
            <w:tcW w:w="9656" w:type="dxa"/>
            <w:gridSpan w:val="3"/>
            <w:vAlign w:val="center"/>
          </w:tcPr>
          <w:p w:rsidR="008D6E9B" w:rsidRPr="00703017" w:rsidRDefault="008D6E9B"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D6E9B" w:rsidRPr="00703017">
        <w:trPr>
          <w:cantSplit/>
          <w:jc w:val="center"/>
        </w:trPr>
        <w:tc>
          <w:tcPr>
            <w:tcW w:w="9656" w:type="dxa"/>
            <w:gridSpan w:val="3"/>
            <w:shd w:val="clear" w:color="auto" w:fill="00FFFF"/>
            <w:vAlign w:val="center"/>
          </w:tcPr>
          <w:p w:rsidR="008D6E9B" w:rsidRPr="00703017" w:rsidRDefault="008D6E9B" w:rsidP="00E72338">
            <w:pPr>
              <w:spacing w:line="240" w:lineRule="auto"/>
              <w:rPr>
                <w:rFonts w:ascii="Arial" w:hAnsi="Arial" w:cs="Arial"/>
                <w:i/>
                <w:iCs/>
                <w:color w:val="0000FF"/>
                <w:sz w:val="20"/>
                <w:szCs w:val="20"/>
                <w:lang w:val="bg-BG"/>
              </w:rPr>
            </w:pPr>
            <w:r w:rsidRPr="00703017">
              <w:rPr>
                <w:rFonts w:ascii="Arial" w:hAnsi="Arial" w:cs="Arial"/>
                <w:b/>
                <w:bCs/>
                <w:color w:val="0000FF"/>
                <w:sz w:val="20"/>
                <w:szCs w:val="20"/>
                <w:lang w:val="bg-BG"/>
              </w:rPr>
              <w:t>3. Оценка на експозицията и референция на източника</w:t>
            </w:r>
          </w:p>
        </w:tc>
      </w:tr>
      <w:tr w:rsidR="008D6E9B" w:rsidRPr="00703017">
        <w:trPr>
          <w:cantSplit/>
          <w:jc w:val="center"/>
        </w:trPr>
        <w:tc>
          <w:tcPr>
            <w:tcW w:w="9656" w:type="dxa"/>
            <w:gridSpan w:val="3"/>
            <w:shd w:val="clear" w:color="auto" w:fill="BFBFBF"/>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b/>
                <w:bCs/>
                <w:sz w:val="16"/>
                <w:szCs w:val="16"/>
                <w:lang w:val="bg-BG"/>
              </w:rPr>
              <w:t>Човешка експозиция</w:t>
            </w:r>
          </w:p>
        </w:tc>
      </w:tr>
      <w:tr w:rsidR="008D6E9B" w:rsidRPr="00703017">
        <w:trPr>
          <w:cantSplit/>
          <w:jc w:val="center"/>
        </w:trPr>
        <w:tc>
          <w:tcPr>
            <w:tcW w:w="9656" w:type="dxa"/>
            <w:gridSpan w:val="3"/>
            <w:vAlign w:val="center"/>
          </w:tcPr>
          <w:p w:rsidR="008D6E9B" w:rsidRPr="00703017" w:rsidRDefault="008D6E9B" w:rsidP="00E72338">
            <w:pPr>
              <w:spacing w:line="240" w:lineRule="auto"/>
              <w:rPr>
                <w:rFonts w:ascii="Arial" w:hAnsi="Arial" w:cs="Arial"/>
                <w:sz w:val="16"/>
                <w:szCs w:val="16"/>
                <w:lang w:val="bg-BG"/>
              </w:rPr>
            </w:pPr>
            <w:r w:rsidRPr="00703017">
              <w:rPr>
                <w:rFonts w:ascii="Arial" w:hAnsi="Arial" w:cs="Arial"/>
                <w:sz w:val="16"/>
                <w:szCs w:val="16"/>
                <w:lang w:val="bg-BG"/>
              </w:rPr>
              <w:t>Човешката експозиция на козметични средства се адресира от други законови разпоредби и затова не е необходимо да се разглежда във връзка с (EC) 1907/2006, по Член 14(5) (b) на този Регламент.</w:t>
            </w:r>
          </w:p>
        </w:tc>
      </w:tr>
      <w:tr w:rsidR="008D6E9B" w:rsidRPr="00703017">
        <w:trPr>
          <w:cantSplit/>
          <w:jc w:val="center"/>
        </w:trPr>
        <w:tc>
          <w:tcPr>
            <w:tcW w:w="9656" w:type="dxa"/>
            <w:gridSpan w:val="3"/>
            <w:shd w:val="clear" w:color="auto" w:fill="BFBFBF"/>
            <w:vAlign w:val="center"/>
          </w:tcPr>
          <w:p w:rsidR="008D6E9B" w:rsidRPr="00703017" w:rsidRDefault="008D6E9B"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Експозиция за околната среда</w:t>
            </w:r>
          </w:p>
        </w:tc>
      </w:tr>
      <w:tr w:rsidR="008D6E9B" w:rsidRPr="0070774F">
        <w:trPr>
          <w:cantSplit/>
          <w:jc w:val="center"/>
        </w:trPr>
        <w:tc>
          <w:tcPr>
            <w:tcW w:w="9656" w:type="dxa"/>
            <w:gridSpan w:val="3"/>
            <w:vAlign w:val="center"/>
          </w:tcPr>
          <w:p w:rsidR="008D6E9B" w:rsidRPr="00703017" w:rsidRDefault="008D6E9B" w:rsidP="00E72338">
            <w:pPr>
              <w:spacing w:line="240" w:lineRule="auto"/>
              <w:rPr>
                <w:rFonts w:ascii="Arial" w:hAnsi="Arial" w:cs="Arial"/>
                <w:b/>
                <w:bCs/>
                <w:sz w:val="16"/>
                <w:szCs w:val="16"/>
                <w:lang w:val="bg-BG"/>
              </w:rPr>
            </w:pPr>
            <w:r w:rsidRPr="00703017">
              <w:rPr>
                <w:rFonts w:ascii="Arial" w:hAnsi="Arial" w:cs="Arial"/>
                <w:sz w:val="16"/>
                <w:szCs w:val="16"/>
                <w:lang w:val="bg-BG"/>
              </w:rPr>
              <w:t>Влиянието на pH при използване на вар в козметиката се очаква да е незначително. Входните води на общинските ПСОВ често се неутрализират тъй или иначе, а варта може дори да се използва по един полезен начин за контрол на pH на киселинните потоци отпадни води, които се обработват в биологичните ПСОВ. Тъй като pH на входните води на общинските ПСОВ е почти неутрално, pH влиянието върху приемната околна среда е незначително, както в повърхностните води, така и в седимента и сухоземната част.</w:t>
            </w:r>
          </w:p>
        </w:tc>
      </w:tr>
    </w:tbl>
    <w:p w:rsidR="008D6E9B" w:rsidRPr="00703017" w:rsidRDefault="008D6E9B" w:rsidP="00C20012">
      <w:pPr>
        <w:jc w:val="center"/>
        <w:rPr>
          <w:rFonts w:ascii="Times New Roman" w:hAnsi="Times New Roman" w:cs="Times New Roman"/>
          <w:lang w:val="bg-BG" w:eastAsia="de-DE"/>
        </w:rPr>
      </w:pPr>
      <w:r w:rsidRPr="00703017">
        <w:rPr>
          <w:sz w:val="28"/>
          <w:szCs w:val="28"/>
          <w:lang w:val="bg-BG"/>
        </w:rPr>
        <w:t>Край на Информационния лист за безопасност</w:t>
      </w:r>
    </w:p>
    <w:sectPr w:rsidR="008D6E9B" w:rsidRPr="00703017" w:rsidSect="006A0C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B50" w:rsidRDefault="00CC7B50" w:rsidP="001D0E29">
      <w:pPr>
        <w:spacing w:line="240" w:lineRule="auto"/>
      </w:pPr>
      <w:r>
        <w:separator/>
      </w:r>
    </w:p>
  </w:endnote>
  <w:endnote w:type="continuationSeparator" w:id="0">
    <w:p w:rsidR="00CC7B50" w:rsidRDefault="00CC7B50" w:rsidP="001D0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0" w:rsidRDefault="00AB54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0" w:rsidRDefault="00AB5450" w:rsidP="008F466B">
    <w:pPr>
      <w:pStyle w:val="a5"/>
      <w:jc w:val="right"/>
    </w:pPr>
    <w:r>
      <w:t xml:space="preserve">Стр. </w:t>
    </w:r>
    <w:r>
      <w:rPr>
        <w:b/>
        <w:bCs/>
      </w:rPr>
      <w:fldChar w:fldCharType="begin"/>
    </w:r>
    <w:r>
      <w:rPr>
        <w:b/>
        <w:bCs/>
      </w:rPr>
      <w:instrText xml:space="preserve"> PAGE </w:instrText>
    </w:r>
    <w:r>
      <w:rPr>
        <w:b/>
        <w:bCs/>
      </w:rPr>
      <w:fldChar w:fldCharType="separate"/>
    </w:r>
    <w:r w:rsidR="00EC6055">
      <w:rPr>
        <w:b/>
        <w:bCs/>
        <w:noProof/>
      </w:rPr>
      <w:t>3</w:t>
    </w:r>
    <w:r>
      <w:rPr>
        <w:b/>
        <w:bCs/>
      </w:rPr>
      <w:fldChar w:fldCharType="end"/>
    </w:r>
    <w:r>
      <w:t xml:space="preserve"> от </w:t>
    </w:r>
    <w:r>
      <w:rPr>
        <w:b/>
        <w:bCs/>
      </w:rPr>
      <w:fldChar w:fldCharType="begin"/>
    </w:r>
    <w:r>
      <w:rPr>
        <w:b/>
        <w:bCs/>
      </w:rPr>
      <w:instrText xml:space="preserve"> NUMPAGES  </w:instrText>
    </w:r>
    <w:r>
      <w:rPr>
        <w:b/>
        <w:bCs/>
      </w:rPr>
      <w:fldChar w:fldCharType="separate"/>
    </w:r>
    <w:r w:rsidR="00EC6055">
      <w:rPr>
        <w:b/>
        <w:bCs/>
        <w:noProof/>
      </w:rPr>
      <w:t>102</w:t>
    </w:r>
    <w:r>
      <w:rPr>
        <w:b/>
        <w:bCs/>
      </w:rPr>
      <w:fldChar w:fldCharType="end"/>
    </w:r>
  </w:p>
  <w:p w:rsidR="00AB5450" w:rsidRPr="008F466B" w:rsidRDefault="00AB5450" w:rsidP="008F46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0" w:rsidRDefault="00AB545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0" w:rsidRDefault="00AB5450" w:rsidP="008F466B">
    <w:pPr>
      <w:pStyle w:val="a5"/>
      <w:jc w:val="right"/>
    </w:pPr>
    <w:r>
      <w:t xml:space="preserve">Стр. </w:t>
    </w:r>
    <w:r>
      <w:rPr>
        <w:b/>
        <w:bCs/>
      </w:rPr>
      <w:fldChar w:fldCharType="begin"/>
    </w:r>
    <w:r>
      <w:rPr>
        <w:b/>
        <w:bCs/>
      </w:rPr>
      <w:instrText xml:space="preserve"> PAGE </w:instrText>
    </w:r>
    <w:r>
      <w:rPr>
        <w:b/>
        <w:bCs/>
      </w:rPr>
      <w:fldChar w:fldCharType="separate"/>
    </w:r>
    <w:r w:rsidR="00EC6055">
      <w:rPr>
        <w:b/>
        <w:bCs/>
        <w:noProof/>
      </w:rPr>
      <w:t>9</w:t>
    </w:r>
    <w:r>
      <w:rPr>
        <w:b/>
        <w:bCs/>
      </w:rPr>
      <w:fldChar w:fldCharType="end"/>
    </w:r>
    <w:r>
      <w:t xml:space="preserve"> от </w:t>
    </w:r>
    <w:r>
      <w:rPr>
        <w:b/>
        <w:bCs/>
      </w:rPr>
      <w:fldChar w:fldCharType="begin"/>
    </w:r>
    <w:r>
      <w:rPr>
        <w:b/>
        <w:bCs/>
      </w:rPr>
      <w:instrText xml:space="preserve"> NUMPAGES  </w:instrText>
    </w:r>
    <w:r>
      <w:rPr>
        <w:b/>
        <w:bCs/>
      </w:rPr>
      <w:fldChar w:fldCharType="separate"/>
    </w:r>
    <w:r w:rsidR="00EC6055">
      <w:rPr>
        <w:b/>
        <w:bCs/>
        <w:noProof/>
      </w:rPr>
      <w:t>102</w:t>
    </w:r>
    <w:r>
      <w:rPr>
        <w:b/>
        <w:bCs/>
      </w:rPr>
      <w:fldChar w:fldCharType="end"/>
    </w:r>
  </w:p>
  <w:p w:rsidR="00AB5450" w:rsidRPr="008F466B" w:rsidRDefault="00AB5450" w:rsidP="008F466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0" w:rsidRDefault="00AB5450" w:rsidP="008F466B">
    <w:pPr>
      <w:pStyle w:val="a5"/>
      <w:jc w:val="right"/>
    </w:pPr>
    <w:r>
      <w:t xml:space="preserve">Стр. </w:t>
    </w:r>
    <w:r>
      <w:rPr>
        <w:b/>
        <w:bCs/>
      </w:rPr>
      <w:fldChar w:fldCharType="begin"/>
    </w:r>
    <w:r>
      <w:rPr>
        <w:b/>
        <w:bCs/>
      </w:rPr>
      <w:instrText xml:space="preserve"> PAGE </w:instrText>
    </w:r>
    <w:r>
      <w:rPr>
        <w:b/>
        <w:bCs/>
      </w:rPr>
      <w:fldChar w:fldCharType="separate"/>
    </w:r>
    <w:r w:rsidR="00EC6055">
      <w:rPr>
        <w:b/>
        <w:bCs/>
        <w:noProof/>
      </w:rPr>
      <w:t>51</w:t>
    </w:r>
    <w:r>
      <w:rPr>
        <w:b/>
        <w:bCs/>
      </w:rPr>
      <w:fldChar w:fldCharType="end"/>
    </w:r>
    <w:r>
      <w:t xml:space="preserve"> от </w:t>
    </w:r>
    <w:r>
      <w:rPr>
        <w:b/>
        <w:bCs/>
      </w:rPr>
      <w:fldChar w:fldCharType="begin"/>
    </w:r>
    <w:r>
      <w:rPr>
        <w:b/>
        <w:bCs/>
      </w:rPr>
      <w:instrText xml:space="preserve"> NUMPAGES  </w:instrText>
    </w:r>
    <w:r>
      <w:rPr>
        <w:b/>
        <w:bCs/>
      </w:rPr>
      <w:fldChar w:fldCharType="separate"/>
    </w:r>
    <w:r w:rsidR="00EC6055">
      <w:rPr>
        <w:b/>
        <w:bCs/>
        <w:noProof/>
      </w:rPr>
      <w:t>102</w:t>
    </w:r>
    <w:r>
      <w:rPr>
        <w:b/>
        <w:bCs/>
      </w:rPr>
      <w:fldChar w:fldCharType="end"/>
    </w:r>
  </w:p>
  <w:p w:rsidR="00AB5450" w:rsidRPr="008F466B" w:rsidRDefault="00AB5450" w:rsidP="008F466B">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0" w:rsidRDefault="00AB5450" w:rsidP="008F466B">
    <w:pPr>
      <w:pStyle w:val="a5"/>
      <w:jc w:val="right"/>
    </w:pPr>
    <w:r>
      <w:t xml:space="preserve">Стр. </w:t>
    </w:r>
    <w:r>
      <w:rPr>
        <w:b/>
        <w:bCs/>
      </w:rPr>
      <w:fldChar w:fldCharType="begin"/>
    </w:r>
    <w:r>
      <w:rPr>
        <w:b/>
        <w:bCs/>
      </w:rPr>
      <w:instrText xml:space="preserve"> PAGE </w:instrText>
    </w:r>
    <w:r>
      <w:rPr>
        <w:b/>
        <w:bCs/>
      </w:rPr>
      <w:fldChar w:fldCharType="separate"/>
    </w:r>
    <w:r w:rsidR="00EC6055">
      <w:rPr>
        <w:b/>
        <w:bCs/>
        <w:noProof/>
      </w:rPr>
      <w:t>59</w:t>
    </w:r>
    <w:r>
      <w:rPr>
        <w:b/>
        <w:bCs/>
      </w:rPr>
      <w:fldChar w:fldCharType="end"/>
    </w:r>
    <w:r>
      <w:t xml:space="preserve"> от </w:t>
    </w:r>
    <w:r>
      <w:rPr>
        <w:b/>
        <w:bCs/>
      </w:rPr>
      <w:fldChar w:fldCharType="begin"/>
    </w:r>
    <w:r>
      <w:rPr>
        <w:b/>
        <w:bCs/>
      </w:rPr>
      <w:instrText xml:space="preserve"> NUMPAGES  </w:instrText>
    </w:r>
    <w:r>
      <w:rPr>
        <w:b/>
        <w:bCs/>
      </w:rPr>
      <w:fldChar w:fldCharType="separate"/>
    </w:r>
    <w:r w:rsidR="00EC6055">
      <w:rPr>
        <w:b/>
        <w:bCs/>
        <w:noProof/>
      </w:rPr>
      <w:t>102</w:t>
    </w:r>
    <w:r>
      <w:rPr>
        <w:b/>
        <w:bCs/>
      </w:rPr>
      <w:fldChar w:fldCharType="end"/>
    </w:r>
  </w:p>
  <w:p w:rsidR="00AB5450" w:rsidRPr="008F466B" w:rsidRDefault="00AB5450" w:rsidP="008F466B">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0" w:rsidRDefault="00AB5450" w:rsidP="008F466B">
    <w:pPr>
      <w:pStyle w:val="a5"/>
      <w:jc w:val="right"/>
    </w:pPr>
    <w:r>
      <w:t xml:space="preserve">Стр. </w:t>
    </w:r>
    <w:r>
      <w:rPr>
        <w:b/>
        <w:bCs/>
      </w:rPr>
      <w:fldChar w:fldCharType="begin"/>
    </w:r>
    <w:r>
      <w:rPr>
        <w:b/>
        <w:bCs/>
      </w:rPr>
      <w:instrText xml:space="preserve"> PAGE </w:instrText>
    </w:r>
    <w:r>
      <w:rPr>
        <w:b/>
        <w:bCs/>
      </w:rPr>
      <w:fldChar w:fldCharType="separate"/>
    </w:r>
    <w:r w:rsidR="00EC6055">
      <w:rPr>
        <w:b/>
        <w:bCs/>
        <w:noProof/>
      </w:rPr>
      <w:t>67</w:t>
    </w:r>
    <w:r>
      <w:rPr>
        <w:b/>
        <w:bCs/>
      </w:rPr>
      <w:fldChar w:fldCharType="end"/>
    </w:r>
    <w:r>
      <w:t xml:space="preserve"> от </w:t>
    </w:r>
    <w:r>
      <w:rPr>
        <w:b/>
        <w:bCs/>
      </w:rPr>
      <w:fldChar w:fldCharType="begin"/>
    </w:r>
    <w:r>
      <w:rPr>
        <w:b/>
        <w:bCs/>
      </w:rPr>
      <w:instrText xml:space="preserve"> NUMPAGES  </w:instrText>
    </w:r>
    <w:r>
      <w:rPr>
        <w:b/>
        <w:bCs/>
      </w:rPr>
      <w:fldChar w:fldCharType="separate"/>
    </w:r>
    <w:r w:rsidR="00EC6055">
      <w:rPr>
        <w:b/>
        <w:bCs/>
        <w:noProof/>
      </w:rPr>
      <w:t>102</w:t>
    </w:r>
    <w:r>
      <w:rPr>
        <w:b/>
        <w:bCs/>
      </w:rPr>
      <w:fldChar w:fldCharType="end"/>
    </w:r>
  </w:p>
  <w:p w:rsidR="00AB5450" w:rsidRPr="008F466B" w:rsidRDefault="00AB5450" w:rsidP="008F466B">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0" w:rsidRDefault="00AB5450" w:rsidP="008F466B">
    <w:pPr>
      <w:pStyle w:val="a5"/>
      <w:jc w:val="right"/>
    </w:pPr>
    <w:r>
      <w:t xml:space="preserve">Стр. </w:t>
    </w:r>
    <w:r>
      <w:rPr>
        <w:b/>
        <w:bCs/>
      </w:rPr>
      <w:fldChar w:fldCharType="begin"/>
    </w:r>
    <w:r>
      <w:rPr>
        <w:b/>
        <w:bCs/>
      </w:rPr>
      <w:instrText xml:space="preserve"> PAGE </w:instrText>
    </w:r>
    <w:r>
      <w:rPr>
        <w:b/>
        <w:bCs/>
      </w:rPr>
      <w:fldChar w:fldCharType="separate"/>
    </w:r>
    <w:r w:rsidR="00EC6055">
      <w:rPr>
        <w:b/>
        <w:bCs/>
        <w:noProof/>
      </w:rPr>
      <w:t>75</w:t>
    </w:r>
    <w:r>
      <w:rPr>
        <w:b/>
        <w:bCs/>
      </w:rPr>
      <w:fldChar w:fldCharType="end"/>
    </w:r>
    <w:r>
      <w:t xml:space="preserve"> от </w:t>
    </w:r>
    <w:r>
      <w:rPr>
        <w:b/>
        <w:bCs/>
      </w:rPr>
      <w:fldChar w:fldCharType="begin"/>
    </w:r>
    <w:r>
      <w:rPr>
        <w:b/>
        <w:bCs/>
      </w:rPr>
      <w:instrText xml:space="preserve"> NUMPAGES  </w:instrText>
    </w:r>
    <w:r>
      <w:rPr>
        <w:b/>
        <w:bCs/>
      </w:rPr>
      <w:fldChar w:fldCharType="separate"/>
    </w:r>
    <w:r w:rsidR="00EC6055">
      <w:rPr>
        <w:b/>
        <w:bCs/>
        <w:noProof/>
      </w:rPr>
      <w:t>102</w:t>
    </w:r>
    <w:r>
      <w:rPr>
        <w:b/>
        <w:bCs/>
      </w:rPr>
      <w:fldChar w:fldCharType="end"/>
    </w:r>
  </w:p>
  <w:p w:rsidR="00AB5450" w:rsidRPr="008F466B" w:rsidRDefault="00AB5450" w:rsidP="008F466B">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0" w:rsidRDefault="00AB5450" w:rsidP="008F466B">
    <w:pPr>
      <w:pStyle w:val="a5"/>
      <w:jc w:val="right"/>
    </w:pPr>
    <w:r>
      <w:t xml:space="preserve">Стр. </w:t>
    </w:r>
    <w:r>
      <w:rPr>
        <w:b/>
        <w:bCs/>
      </w:rPr>
      <w:fldChar w:fldCharType="begin"/>
    </w:r>
    <w:r>
      <w:rPr>
        <w:b/>
        <w:bCs/>
      </w:rPr>
      <w:instrText xml:space="preserve"> PAGE </w:instrText>
    </w:r>
    <w:r>
      <w:rPr>
        <w:b/>
        <w:bCs/>
      </w:rPr>
      <w:fldChar w:fldCharType="separate"/>
    </w:r>
    <w:r w:rsidR="00EC6055">
      <w:rPr>
        <w:b/>
        <w:bCs/>
        <w:noProof/>
      </w:rPr>
      <w:t>76</w:t>
    </w:r>
    <w:r>
      <w:rPr>
        <w:b/>
        <w:bCs/>
      </w:rPr>
      <w:fldChar w:fldCharType="end"/>
    </w:r>
    <w:r>
      <w:t xml:space="preserve"> от </w:t>
    </w:r>
    <w:r>
      <w:rPr>
        <w:b/>
        <w:bCs/>
      </w:rPr>
      <w:fldChar w:fldCharType="begin"/>
    </w:r>
    <w:r>
      <w:rPr>
        <w:b/>
        <w:bCs/>
      </w:rPr>
      <w:instrText xml:space="preserve"> NUMPAGES  </w:instrText>
    </w:r>
    <w:r>
      <w:rPr>
        <w:b/>
        <w:bCs/>
      </w:rPr>
      <w:fldChar w:fldCharType="separate"/>
    </w:r>
    <w:r w:rsidR="00EC6055">
      <w:rPr>
        <w:b/>
        <w:bCs/>
        <w:noProof/>
      </w:rPr>
      <w:t>102</w:t>
    </w:r>
    <w:r>
      <w:rPr>
        <w:b/>
        <w:bCs/>
      </w:rPr>
      <w:fldChar w:fldCharType="end"/>
    </w:r>
  </w:p>
  <w:p w:rsidR="00AB5450" w:rsidRPr="008F466B" w:rsidRDefault="00AB5450" w:rsidP="008F46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B50" w:rsidRDefault="00CC7B50" w:rsidP="001D0E29">
      <w:pPr>
        <w:spacing w:line="240" w:lineRule="auto"/>
      </w:pPr>
      <w:r>
        <w:separator/>
      </w:r>
    </w:p>
  </w:footnote>
  <w:footnote w:type="continuationSeparator" w:id="0">
    <w:p w:rsidR="00CC7B50" w:rsidRDefault="00CC7B50" w:rsidP="001D0E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0" w:rsidRDefault="00AB54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0" w:rsidRPr="00CC7DB8" w:rsidRDefault="00AB5450" w:rsidP="00AB5450">
    <w:pPr>
      <w:ind w:left="1560" w:firstLine="425"/>
      <w:rPr>
        <w:b/>
        <w:bCs/>
        <w:color w:val="548DD4"/>
      </w:rPr>
    </w:pPr>
    <w:r>
      <w:rPr>
        <w:noProof/>
        <w:lang w:val="bg-BG" w:eastAsia="bg-BG"/>
      </w:rPr>
      <w:drawing>
        <wp:anchor distT="0" distB="0" distL="114300" distR="114300" simplePos="0" relativeHeight="251682816" behindDoc="0" locked="0" layoutInCell="1" allowOverlap="1" wp14:anchorId="662B67EB" wp14:editId="2A3E9D7B">
          <wp:simplePos x="0" y="0"/>
          <wp:positionH relativeFrom="column">
            <wp:posOffset>29210</wp:posOffset>
          </wp:positionH>
          <wp:positionV relativeFrom="paragraph">
            <wp:posOffset>-78105</wp:posOffset>
          </wp:positionV>
          <wp:extent cx="828675" cy="755650"/>
          <wp:effectExtent l="0" t="0" r="9525" b="6350"/>
          <wp:wrapSquare wrapText="right"/>
          <wp:docPr id="14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55650"/>
                  </a:xfrm>
                  <a:prstGeom prst="rect">
                    <a:avLst/>
                  </a:prstGeom>
                  <a:noFill/>
                </pic:spPr>
              </pic:pic>
            </a:graphicData>
          </a:graphic>
          <wp14:sizeRelH relativeFrom="page">
            <wp14:pctWidth>0</wp14:pctWidth>
          </wp14:sizeRelH>
          <wp14:sizeRelV relativeFrom="page">
            <wp14:pctHeight>0</wp14:pctHeight>
          </wp14:sizeRelV>
        </wp:anchor>
      </w:drawing>
    </w:r>
    <w:r w:rsidRPr="00D3373B">
      <w:rPr>
        <w:b/>
        <w:bCs/>
        <w:color w:val="548DD4"/>
      </w:rPr>
      <w:t>ИНФОРМАЦИОНЕН ЛИСТ ЗА БЕЗОПАСНОСТ НА ПРОДУКТА за</w:t>
    </w:r>
    <w:r>
      <w:rPr>
        <w:b/>
        <w:bCs/>
        <w:color w:val="548DD4"/>
      </w:rPr>
      <w:t xml:space="preserve"> </w:t>
    </w:r>
    <w:r>
      <w:rPr>
        <w:b/>
        <w:bCs/>
        <w:color w:val="548DD4"/>
        <w:lang w:val="en-US"/>
      </w:rPr>
      <w:t>CaO</w:t>
    </w:r>
    <w:r>
      <w:rPr>
        <w:b/>
        <w:bCs/>
        <w:color w:val="548DD4"/>
      </w:rPr>
      <w:t xml:space="preserve">, </w:t>
    </w:r>
  </w:p>
  <w:p w:rsidR="00AB5450" w:rsidRDefault="00AB5450" w:rsidP="00AB5450">
    <w:pPr>
      <w:spacing w:line="240" w:lineRule="atLeast"/>
      <w:jc w:val="center"/>
    </w:pPr>
    <w:r>
      <w:rPr>
        <w:b/>
        <w:color w:val="548DD4"/>
        <w:lang w:val="bg-BG"/>
      </w:rPr>
      <w:t xml:space="preserve">Изготвен в съответствие с </w:t>
    </w:r>
    <w:r w:rsidRPr="00005EB5">
      <w:rPr>
        <w:b/>
        <w:color w:val="548DD4"/>
        <w:lang w:val="bg-BG"/>
      </w:rPr>
      <w:t xml:space="preserve">Регламент (EО) </w:t>
    </w:r>
    <w:r w:rsidR="00EC6055">
      <w:rPr>
        <w:b/>
        <w:color w:val="548DD4"/>
        <w:lang w:val="bg-BG"/>
      </w:rPr>
      <w:t>№</w:t>
    </w:r>
    <w:r w:rsidRPr="00005EB5">
      <w:rPr>
        <w:b/>
        <w:color w:val="548DD4"/>
        <w:lang w:val="bg-BG"/>
      </w:rPr>
      <w:t xml:space="preserve"> </w:t>
    </w:r>
    <w:r>
      <w:rPr>
        <w:b/>
        <w:color w:val="548DD4"/>
        <w:lang w:val="bg-BG"/>
      </w:rPr>
      <w:t xml:space="preserve">1907/2006 </w:t>
    </w:r>
    <w:r w:rsidRPr="00005EB5">
      <w:rPr>
        <w:b/>
        <w:color w:val="548DD4"/>
        <w:lang w:val="bg-BG"/>
      </w:rPr>
      <w:t>/</w:t>
    </w:r>
    <w:r>
      <w:rPr>
        <w:b/>
        <w:color w:val="548DD4"/>
        <w:lang w:val="bg-BG"/>
      </w:rPr>
      <w:t xml:space="preserve"> </w:t>
    </w:r>
    <w:r>
      <w:rPr>
        <w:b/>
        <w:color w:val="548DD4"/>
        <w:lang w:val="en-US"/>
      </w:rPr>
      <w:t>REACH;</w:t>
    </w:r>
    <w:r>
      <w:t> </w:t>
    </w:r>
  </w:p>
  <w:p w:rsidR="00AB5450" w:rsidRPr="007C1643" w:rsidRDefault="00AB5450" w:rsidP="00EC6055">
    <w:pPr>
      <w:spacing w:line="240" w:lineRule="atLeast"/>
      <w:jc w:val="center"/>
      <w:rPr>
        <w:b/>
        <w:color w:val="548DD4"/>
        <w:lang w:val="bg-BG"/>
      </w:rPr>
    </w:pPr>
    <w:r>
      <w:rPr>
        <w:b/>
        <w:color w:val="548DD4"/>
        <w:lang w:val="bg-BG"/>
      </w:rPr>
      <w:t>Регламент</w:t>
    </w:r>
    <w:r w:rsidRPr="004465BF">
      <w:rPr>
        <w:b/>
        <w:color w:val="548DD4"/>
        <w:lang w:val="ru-RU"/>
      </w:rPr>
      <w:t xml:space="preserve"> (</w:t>
    </w:r>
    <w:r w:rsidRPr="004351B3">
      <w:rPr>
        <w:b/>
        <w:color w:val="548DD4"/>
        <w:lang w:val="en-US"/>
      </w:rPr>
      <w:t>EC</w:t>
    </w:r>
    <w:r w:rsidRPr="004465BF">
      <w:rPr>
        <w:b/>
        <w:color w:val="548DD4"/>
        <w:lang w:val="ru-RU"/>
      </w:rPr>
      <w:t xml:space="preserve">) 1272/2008 </w:t>
    </w:r>
    <w:r>
      <w:rPr>
        <w:b/>
        <w:color w:val="548DD4"/>
        <w:lang w:val="bg-BG"/>
      </w:rPr>
      <w:t xml:space="preserve">и </w:t>
    </w:r>
    <w:r w:rsidR="00EC6055">
      <w:rPr>
        <w:b/>
        <w:color w:val="548DD4"/>
        <w:lang w:val="bg-BG"/>
      </w:rPr>
      <w:t>изменения</w:t>
    </w:r>
    <w:r>
      <w:t> </w:t>
    </w:r>
  </w:p>
  <w:p w:rsidR="00AB5450" w:rsidRPr="004465BF" w:rsidRDefault="00AB5450" w:rsidP="006C695F">
    <w:pPr>
      <w:spacing w:line="240" w:lineRule="atLeast"/>
      <w:ind w:left="709" w:firstLine="709"/>
      <w:jc w:val="center"/>
      <w:rPr>
        <w:b/>
        <w:color w:val="100999"/>
        <w:lang w:val="ru-RU"/>
      </w:rPr>
    </w:pPr>
  </w:p>
  <w:p w:rsidR="00AB5450" w:rsidRPr="00BA0D40" w:rsidRDefault="00AB5450" w:rsidP="006C695F">
    <w:pPr>
      <w:pStyle w:val="Kopzeile-fett"/>
      <w:pBdr>
        <w:top w:val="single" w:sz="4" w:space="1" w:color="auto"/>
        <w:bottom w:val="single" w:sz="4" w:space="1" w:color="auto"/>
      </w:pBdr>
      <w:tabs>
        <w:tab w:val="left" w:pos="3915"/>
      </w:tabs>
      <w:rPr>
        <w:rFonts w:ascii="Calibri" w:hAnsi="Calibri"/>
        <w:color w:val="548DD4"/>
        <w:sz w:val="18"/>
        <w:szCs w:val="18"/>
        <w:lang w:val="ru-RU" w:eastAsia="en-US"/>
      </w:rPr>
    </w:pPr>
    <w:r>
      <w:rPr>
        <w:rFonts w:ascii="Calibri" w:hAnsi="Calibri"/>
        <w:color w:val="548DD4"/>
        <w:sz w:val="18"/>
        <w:szCs w:val="18"/>
        <w:lang w:val="bg-BG" w:eastAsia="en-US"/>
      </w:rPr>
      <w:t xml:space="preserve">Версия </w:t>
    </w:r>
    <w:r w:rsidRPr="004351B3">
      <w:rPr>
        <w:rFonts w:ascii="Calibri" w:hAnsi="Calibri"/>
        <w:color w:val="548DD4"/>
        <w:sz w:val="18"/>
        <w:szCs w:val="18"/>
        <w:lang w:val="fr-FR" w:eastAsia="en-US"/>
      </w:rPr>
      <w:t xml:space="preserve"> </w:t>
    </w:r>
    <w:r w:rsidR="00EC6055">
      <w:rPr>
        <w:rFonts w:ascii="Calibri" w:hAnsi="Calibri"/>
        <w:color w:val="548DD4"/>
        <w:sz w:val="18"/>
        <w:szCs w:val="18"/>
        <w:lang w:val="fr-FR" w:eastAsia="en-US"/>
      </w:rPr>
      <w:t>5</w:t>
    </w:r>
    <w:r w:rsidRPr="00BA0D40">
      <w:rPr>
        <w:rFonts w:ascii="Calibri" w:hAnsi="Calibri"/>
        <w:color w:val="548DD4"/>
        <w:sz w:val="18"/>
        <w:szCs w:val="18"/>
        <w:lang w:val="fr-FR" w:eastAsia="en-US"/>
      </w:rPr>
      <w:t>.0/</w:t>
    </w:r>
    <w:r w:rsidRPr="00BA0D40">
      <w:rPr>
        <w:rFonts w:ascii="Calibri" w:hAnsi="Calibri"/>
        <w:color w:val="548DD4"/>
        <w:sz w:val="18"/>
        <w:szCs w:val="18"/>
        <w:lang w:val="en-US" w:eastAsia="en-US"/>
      </w:rPr>
      <w:t>BG</w:t>
    </w:r>
  </w:p>
  <w:p w:rsidR="00AB5450" w:rsidRPr="004465BF" w:rsidRDefault="00AB5450" w:rsidP="006C695F">
    <w:pPr>
      <w:pStyle w:val="Kopzeile-fett"/>
      <w:pBdr>
        <w:top w:val="single" w:sz="4" w:space="1" w:color="auto"/>
        <w:bottom w:val="single" w:sz="4" w:space="1" w:color="auto"/>
      </w:pBdr>
      <w:rPr>
        <w:rFonts w:ascii="Calibri" w:hAnsi="Calibri"/>
        <w:color w:val="548DD4"/>
        <w:sz w:val="18"/>
        <w:szCs w:val="18"/>
        <w:lang w:val="ru-RU" w:eastAsia="en-US"/>
      </w:rPr>
    </w:pPr>
    <w:r w:rsidRPr="00BA0D40">
      <w:rPr>
        <w:rFonts w:ascii="Calibri" w:hAnsi="Calibri"/>
        <w:color w:val="548DD4"/>
        <w:sz w:val="18"/>
        <w:szCs w:val="18"/>
        <w:lang w:val="bg-BG" w:eastAsia="en-US"/>
      </w:rPr>
      <w:t>Дата на последна редакция</w:t>
    </w:r>
    <w:r>
      <w:rPr>
        <w:rFonts w:ascii="Calibri" w:hAnsi="Calibri"/>
        <w:color w:val="548DD4"/>
        <w:sz w:val="18"/>
        <w:szCs w:val="18"/>
        <w:lang w:val="ru-RU" w:eastAsia="en-US"/>
      </w:rPr>
      <w:t xml:space="preserve">: </w:t>
    </w:r>
    <w:r w:rsidR="00EC6055">
      <w:rPr>
        <w:rFonts w:ascii="Calibri" w:hAnsi="Calibri"/>
        <w:color w:val="548DD4"/>
        <w:sz w:val="18"/>
        <w:szCs w:val="18"/>
        <w:lang w:val="bg-BG" w:eastAsia="en-US"/>
      </w:rPr>
      <w:t xml:space="preserve">Септември </w:t>
    </w:r>
    <w:r w:rsidR="00EC6055">
      <w:rPr>
        <w:rFonts w:ascii="Calibri" w:hAnsi="Calibri"/>
        <w:color w:val="548DD4"/>
        <w:sz w:val="18"/>
        <w:szCs w:val="18"/>
        <w:lang w:val="ru-RU" w:eastAsia="en-US"/>
      </w:rPr>
      <w:t>/ 2017</w:t>
    </w:r>
    <w:r>
      <w:rPr>
        <w:rFonts w:ascii="Calibri" w:hAnsi="Calibri"/>
        <w:color w:val="548DD4"/>
        <w:sz w:val="18"/>
        <w:szCs w:val="18"/>
        <w:lang w:val="en-US" w:eastAsia="en-US"/>
      </w:rPr>
      <w:t xml:space="preserve"> </w:t>
    </w:r>
    <w:r w:rsidR="00EC6055">
      <w:rPr>
        <w:rFonts w:ascii="Calibri" w:hAnsi="Calibri"/>
        <w:color w:val="548DD4"/>
        <w:sz w:val="18"/>
        <w:szCs w:val="18"/>
        <w:lang w:val="en-US" w:eastAsia="en-US"/>
      </w:rPr>
      <w:t xml:space="preserve">                           </w:t>
    </w:r>
    <w:r>
      <w:rPr>
        <w:rFonts w:ascii="Calibri" w:hAnsi="Calibri"/>
        <w:color w:val="548DD4"/>
        <w:sz w:val="18"/>
        <w:szCs w:val="18"/>
        <w:lang w:val="en-US" w:eastAsia="en-US"/>
      </w:rPr>
      <w:t xml:space="preserve">                                  </w:t>
    </w:r>
    <w:r>
      <w:rPr>
        <w:rFonts w:ascii="Calibri" w:hAnsi="Calibri"/>
        <w:color w:val="548DD4"/>
        <w:sz w:val="18"/>
        <w:szCs w:val="18"/>
        <w:lang w:val="bg-BG" w:eastAsia="en-US"/>
      </w:rPr>
      <w:t>Дата на отпечатване</w:t>
    </w:r>
    <w:r w:rsidRPr="004465BF">
      <w:rPr>
        <w:rFonts w:ascii="Calibri" w:hAnsi="Calibri"/>
        <w:color w:val="548DD4"/>
        <w:sz w:val="18"/>
        <w:szCs w:val="18"/>
        <w:lang w:val="ru-RU" w:eastAsia="en-US"/>
      </w:rPr>
      <w:t xml:space="preserve">: </w:t>
    </w:r>
    <w:r>
      <w:rPr>
        <w:rFonts w:ascii="Calibri" w:hAnsi="Calibri"/>
        <w:color w:val="548DD4"/>
        <w:sz w:val="18"/>
        <w:szCs w:val="18"/>
        <w:lang w:val="en-US" w:eastAsia="en-US"/>
      </w:rPr>
      <w:fldChar w:fldCharType="begin"/>
    </w:r>
    <w:r>
      <w:rPr>
        <w:rFonts w:ascii="Calibri" w:hAnsi="Calibri"/>
        <w:color w:val="548DD4"/>
        <w:sz w:val="18"/>
        <w:szCs w:val="18"/>
        <w:lang w:val="en-US" w:eastAsia="en-US"/>
      </w:rPr>
      <w:instrText xml:space="preserve"> DATE  \@ "MMMM d, yyyy"  \* MERGEFORMAT </w:instrText>
    </w:r>
    <w:r>
      <w:rPr>
        <w:rFonts w:ascii="Calibri" w:hAnsi="Calibri"/>
        <w:color w:val="548DD4"/>
        <w:sz w:val="18"/>
        <w:szCs w:val="18"/>
        <w:lang w:val="en-US" w:eastAsia="en-US"/>
      </w:rPr>
      <w:fldChar w:fldCharType="separate"/>
    </w:r>
    <w:r w:rsidR="00EC6055">
      <w:rPr>
        <w:rFonts w:ascii="Calibri" w:hAnsi="Calibri"/>
        <w:noProof/>
        <w:color w:val="548DD4"/>
        <w:sz w:val="18"/>
        <w:szCs w:val="18"/>
        <w:lang w:val="en-US" w:eastAsia="en-US"/>
      </w:rPr>
      <w:t>April 26, 2018</w:t>
    </w:r>
    <w:r>
      <w:rPr>
        <w:rFonts w:ascii="Calibri" w:hAnsi="Calibri"/>
        <w:color w:val="548DD4"/>
        <w:sz w:val="18"/>
        <w:szCs w:val="18"/>
        <w:lang w:val="en-US" w:eastAsia="en-US"/>
      </w:rPr>
      <w:fldChar w:fldCharType="end"/>
    </w:r>
  </w:p>
  <w:p w:rsidR="00AB5450" w:rsidRPr="006C695F" w:rsidRDefault="00AB5450" w:rsidP="006C695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0" w:rsidRDefault="00AB545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0" w:rsidRDefault="00AB5450" w:rsidP="00AB5450">
    <w:pPr>
      <w:jc w:val="center"/>
      <w:rPr>
        <w:b/>
        <w:bCs/>
        <w:color w:val="548DD4"/>
      </w:rPr>
    </w:pPr>
    <w:r>
      <w:rPr>
        <w:noProof/>
        <w:lang w:val="bg-BG" w:eastAsia="bg-BG"/>
      </w:rPr>
      <w:drawing>
        <wp:anchor distT="0" distB="0" distL="114300" distR="114300" simplePos="0" relativeHeight="251662336" behindDoc="0" locked="0" layoutInCell="1" allowOverlap="1">
          <wp:simplePos x="0" y="0"/>
          <wp:positionH relativeFrom="column">
            <wp:posOffset>29210</wp:posOffset>
          </wp:positionH>
          <wp:positionV relativeFrom="paragraph">
            <wp:posOffset>-78105</wp:posOffset>
          </wp:positionV>
          <wp:extent cx="828675" cy="755650"/>
          <wp:effectExtent l="0" t="0" r="9525" b="6350"/>
          <wp:wrapSquare wrapText="right"/>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55650"/>
                  </a:xfrm>
                  <a:prstGeom prst="rect">
                    <a:avLst/>
                  </a:prstGeom>
                  <a:noFill/>
                </pic:spPr>
              </pic:pic>
            </a:graphicData>
          </a:graphic>
          <wp14:sizeRelH relativeFrom="page">
            <wp14:pctWidth>0</wp14:pctWidth>
          </wp14:sizeRelH>
          <wp14:sizeRelV relativeFrom="page">
            <wp14:pctHeight>0</wp14:pctHeight>
          </wp14:sizeRelV>
        </wp:anchor>
      </w:drawing>
    </w:r>
    <w:r w:rsidRPr="00D3373B">
      <w:rPr>
        <w:b/>
        <w:bCs/>
        <w:color w:val="548DD4"/>
      </w:rPr>
      <w:t>ИНФОРМАЦИОНЕН ЛИСТ ЗА БЕЗОПАСНОСТ НА ПРОДУКТА за</w:t>
    </w:r>
    <w:r>
      <w:rPr>
        <w:b/>
        <w:bCs/>
        <w:color w:val="548DD4"/>
      </w:rPr>
      <w:t xml:space="preserve"> </w:t>
    </w:r>
    <w:r w:rsidRPr="0070774F">
      <w:rPr>
        <w:b/>
        <w:bCs/>
        <w:color w:val="548DD4"/>
      </w:rPr>
      <w:t>CaO,</w:t>
    </w:r>
  </w:p>
  <w:p w:rsidR="00AB5450" w:rsidRDefault="00AB5450" w:rsidP="00AB5450">
    <w:pPr>
      <w:spacing w:line="240" w:lineRule="atLeast"/>
      <w:jc w:val="center"/>
    </w:pPr>
    <w:r>
      <w:rPr>
        <w:b/>
        <w:color w:val="548DD4"/>
        <w:lang w:val="bg-BG"/>
      </w:rPr>
      <w:t xml:space="preserve">Изготвен в съответствие с </w:t>
    </w:r>
    <w:r w:rsidRPr="00005EB5">
      <w:rPr>
        <w:b/>
        <w:color w:val="548DD4"/>
        <w:lang w:val="bg-BG"/>
      </w:rPr>
      <w:t>Регламент</w:t>
    </w:r>
    <w:r>
      <w:rPr>
        <w:b/>
        <w:color w:val="548DD4"/>
        <w:lang w:val="bg-BG"/>
      </w:rPr>
      <w:t>и</w:t>
    </w:r>
    <w:r w:rsidR="00EC6055">
      <w:rPr>
        <w:b/>
        <w:color w:val="548DD4"/>
        <w:lang w:val="bg-BG"/>
      </w:rPr>
      <w:t xml:space="preserve"> (EС</w:t>
    </w:r>
    <w:r w:rsidRPr="00005EB5">
      <w:rPr>
        <w:b/>
        <w:color w:val="548DD4"/>
        <w:lang w:val="bg-BG"/>
      </w:rPr>
      <w:t xml:space="preserve">) </w:t>
    </w:r>
    <w:r w:rsidR="00EC6055">
      <w:rPr>
        <w:b/>
        <w:color w:val="548DD4"/>
        <w:lang w:val="bg-BG"/>
      </w:rPr>
      <w:t>№</w:t>
    </w:r>
    <w:r>
      <w:rPr>
        <w:b/>
        <w:color w:val="548DD4"/>
        <w:lang w:val="bg-BG"/>
      </w:rPr>
      <w:t xml:space="preserve">1907/2006 </w:t>
    </w:r>
    <w:r w:rsidRPr="00005EB5">
      <w:rPr>
        <w:b/>
        <w:color w:val="548DD4"/>
        <w:lang w:val="bg-BG"/>
      </w:rPr>
      <w:t>/</w:t>
    </w:r>
    <w:r>
      <w:rPr>
        <w:b/>
        <w:color w:val="548DD4"/>
        <w:lang w:val="bg-BG"/>
      </w:rPr>
      <w:t xml:space="preserve"> </w:t>
    </w:r>
    <w:r>
      <w:rPr>
        <w:b/>
        <w:color w:val="548DD4"/>
        <w:lang w:val="en-US"/>
      </w:rPr>
      <w:t>REACH;</w:t>
    </w:r>
    <w:r>
      <w:t> </w:t>
    </w:r>
  </w:p>
  <w:p w:rsidR="00AB5450" w:rsidRPr="00AB5450" w:rsidRDefault="00AB5450" w:rsidP="00EC6055">
    <w:pPr>
      <w:spacing w:line="240" w:lineRule="atLeast"/>
      <w:jc w:val="center"/>
      <w:rPr>
        <w:b/>
        <w:bCs/>
        <w:color w:val="548DD4"/>
      </w:rPr>
    </w:pPr>
    <w:r>
      <w:rPr>
        <w:b/>
        <w:color w:val="548DD4"/>
        <w:lang w:val="bg-BG"/>
      </w:rPr>
      <w:t>Регламент</w:t>
    </w:r>
    <w:r w:rsidRPr="004465BF">
      <w:rPr>
        <w:b/>
        <w:color w:val="548DD4"/>
        <w:lang w:val="ru-RU"/>
      </w:rPr>
      <w:t xml:space="preserve"> (</w:t>
    </w:r>
    <w:r w:rsidRPr="004351B3">
      <w:rPr>
        <w:b/>
        <w:color w:val="548DD4"/>
        <w:lang w:val="en-US"/>
      </w:rPr>
      <w:t>EC</w:t>
    </w:r>
    <w:r w:rsidRPr="004465BF">
      <w:rPr>
        <w:b/>
        <w:color w:val="548DD4"/>
        <w:lang w:val="ru-RU"/>
      </w:rPr>
      <w:t xml:space="preserve">) 1272/2008 </w:t>
    </w:r>
    <w:r>
      <w:rPr>
        <w:b/>
        <w:color w:val="548DD4"/>
        <w:lang w:val="bg-BG"/>
      </w:rPr>
      <w:t xml:space="preserve">и </w:t>
    </w:r>
    <w:r w:rsidR="00EC6055">
      <w:rPr>
        <w:b/>
        <w:color w:val="548DD4"/>
        <w:lang w:val="bg-BG"/>
      </w:rPr>
      <w:t>изменения</w:t>
    </w:r>
    <w:r>
      <w:t> </w:t>
    </w:r>
  </w:p>
  <w:p w:rsidR="00AB5450" w:rsidRDefault="00AB5450" w:rsidP="00CC7DB8">
    <w:pPr>
      <w:spacing w:line="240" w:lineRule="auto"/>
      <w:jc w:val="center"/>
      <w:rPr>
        <w:b/>
        <w:bCs/>
        <w:color w:val="100999"/>
        <w:sz w:val="18"/>
        <w:szCs w:val="18"/>
      </w:rPr>
    </w:pPr>
  </w:p>
  <w:p w:rsidR="00EC6055" w:rsidRPr="00331544" w:rsidRDefault="00EC6055" w:rsidP="00CC7DB8">
    <w:pPr>
      <w:spacing w:line="240" w:lineRule="auto"/>
      <w:jc w:val="center"/>
      <w:rPr>
        <w:b/>
        <w:bCs/>
        <w:color w:val="100999"/>
        <w:sz w:val="18"/>
        <w:szCs w:val="18"/>
      </w:rPr>
    </w:pPr>
  </w:p>
  <w:p w:rsidR="00AB5450" w:rsidRPr="00686844" w:rsidRDefault="00EC6055" w:rsidP="00686844">
    <w:pPr>
      <w:pStyle w:val="Kopzeile-fett"/>
      <w:pBdr>
        <w:top w:val="single" w:sz="4" w:space="1" w:color="auto"/>
        <w:bottom w:val="single" w:sz="4" w:space="1" w:color="auto"/>
      </w:pBdr>
      <w:rPr>
        <w:rFonts w:ascii="Calibri" w:hAnsi="Calibri" w:cs="Calibri"/>
        <w:color w:val="548DD4"/>
        <w:sz w:val="18"/>
        <w:szCs w:val="18"/>
      </w:rPr>
    </w:pPr>
    <w:r>
      <w:rPr>
        <w:rFonts w:ascii="Calibri" w:hAnsi="Calibri" w:cs="Calibri"/>
        <w:color w:val="548DD4"/>
        <w:sz w:val="18"/>
        <w:szCs w:val="18"/>
      </w:rPr>
      <w:t>Версия  5</w:t>
    </w:r>
    <w:r w:rsidR="00AB5450" w:rsidRPr="00686844">
      <w:rPr>
        <w:rFonts w:ascii="Calibri" w:hAnsi="Calibri" w:cs="Calibri"/>
        <w:color w:val="548DD4"/>
        <w:sz w:val="18"/>
        <w:szCs w:val="18"/>
      </w:rPr>
      <w:t>.0/BG</w:t>
    </w:r>
  </w:p>
  <w:p w:rsidR="00AB5450" w:rsidRPr="00AC695F" w:rsidRDefault="00EC6055" w:rsidP="00686844">
    <w:pPr>
      <w:pStyle w:val="Kopzeile-fett"/>
      <w:pBdr>
        <w:top w:val="single" w:sz="4" w:space="1" w:color="auto"/>
        <w:bottom w:val="single" w:sz="4" w:space="1" w:color="auto"/>
      </w:pBdr>
      <w:rPr>
        <w:rFonts w:ascii="Arial" w:hAnsi="Arial" w:cs="Arial"/>
        <w:color w:val="548DD4"/>
        <w:sz w:val="18"/>
        <w:szCs w:val="18"/>
        <w:lang w:val="bg-BG"/>
      </w:rPr>
    </w:pPr>
    <w:r>
      <w:rPr>
        <w:rFonts w:ascii="Calibri" w:hAnsi="Calibri" w:cs="Calibri"/>
        <w:color w:val="548DD4"/>
        <w:sz w:val="18"/>
        <w:szCs w:val="18"/>
      </w:rPr>
      <w:t>Дата на последна редакция: Септември/ 2017</w:t>
    </w:r>
    <w:r w:rsidR="00AB5450" w:rsidRPr="00686844">
      <w:rPr>
        <w:rFonts w:ascii="Calibri" w:hAnsi="Calibri" w:cs="Calibri"/>
        <w:color w:val="548DD4"/>
        <w:sz w:val="18"/>
        <w:szCs w:val="18"/>
      </w:rPr>
      <w:tab/>
      <w:t xml:space="preserve">                                                                    </w:t>
    </w:r>
    <w:r>
      <w:rPr>
        <w:rFonts w:ascii="Calibri" w:hAnsi="Calibri" w:cs="Calibri"/>
        <w:color w:val="548DD4"/>
        <w:sz w:val="18"/>
        <w:szCs w:val="18"/>
        <w:lang w:val="bg-BG"/>
      </w:rPr>
      <w:t xml:space="preserve">                                                                                                                   </w:t>
    </w:r>
    <w:r w:rsidR="00AB5450" w:rsidRPr="00686844">
      <w:rPr>
        <w:rFonts w:ascii="Calibri" w:hAnsi="Calibri" w:cs="Calibri"/>
        <w:color w:val="548DD4"/>
        <w:sz w:val="18"/>
        <w:szCs w:val="18"/>
      </w:rPr>
      <w:t xml:space="preserve">        </w:t>
    </w:r>
    <w:r w:rsidR="00DF0F7C">
      <w:rPr>
        <w:rFonts w:ascii="Calibri" w:hAnsi="Calibri"/>
        <w:color w:val="548DD4"/>
        <w:sz w:val="18"/>
        <w:szCs w:val="18"/>
        <w:lang w:val="bg-BG" w:eastAsia="en-US"/>
      </w:rPr>
      <w:t>Дата на отпечатване</w:t>
    </w:r>
    <w:r w:rsidR="00DF0F7C" w:rsidRPr="004465BF">
      <w:rPr>
        <w:rFonts w:ascii="Calibri" w:hAnsi="Calibri"/>
        <w:color w:val="548DD4"/>
        <w:sz w:val="18"/>
        <w:szCs w:val="18"/>
        <w:lang w:val="ru-RU" w:eastAsia="en-US"/>
      </w:rPr>
      <w:t xml:space="preserve">: </w:t>
    </w:r>
    <w:r w:rsidR="00DF0F7C">
      <w:rPr>
        <w:rFonts w:ascii="Calibri" w:hAnsi="Calibri"/>
        <w:color w:val="548DD4"/>
        <w:sz w:val="18"/>
        <w:szCs w:val="18"/>
        <w:lang w:val="en-US" w:eastAsia="en-US"/>
      </w:rPr>
      <w:fldChar w:fldCharType="begin"/>
    </w:r>
    <w:r w:rsidR="00DF0F7C">
      <w:rPr>
        <w:rFonts w:ascii="Calibri" w:hAnsi="Calibri"/>
        <w:color w:val="548DD4"/>
        <w:sz w:val="18"/>
        <w:szCs w:val="18"/>
        <w:lang w:val="en-US" w:eastAsia="en-US"/>
      </w:rPr>
      <w:instrText xml:space="preserve"> DATE  \@ "MMMM d, yyyy"  \* MERGEFORMAT </w:instrText>
    </w:r>
    <w:r w:rsidR="00DF0F7C">
      <w:rPr>
        <w:rFonts w:ascii="Calibri" w:hAnsi="Calibri"/>
        <w:color w:val="548DD4"/>
        <w:sz w:val="18"/>
        <w:szCs w:val="18"/>
        <w:lang w:val="en-US" w:eastAsia="en-US"/>
      </w:rPr>
      <w:fldChar w:fldCharType="separate"/>
    </w:r>
    <w:r>
      <w:rPr>
        <w:rFonts w:ascii="Calibri" w:hAnsi="Calibri"/>
        <w:noProof/>
        <w:color w:val="548DD4"/>
        <w:sz w:val="18"/>
        <w:szCs w:val="18"/>
        <w:lang w:val="en-US" w:eastAsia="en-US"/>
      </w:rPr>
      <w:t>April 26, 2018</w:t>
    </w:r>
    <w:r w:rsidR="00DF0F7C">
      <w:rPr>
        <w:rFonts w:ascii="Calibri" w:hAnsi="Calibri"/>
        <w:color w:val="548DD4"/>
        <w:sz w:val="18"/>
        <w:szCs w:val="18"/>
        <w:lang w:val="en-US" w:eastAsia="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0" w:rsidRPr="00CC7DB8" w:rsidRDefault="00AB5450" w:rsidP="000B77AF">
    <w:pPr>
      <w:ind w:left="1560" w:firstLine="425"/>
      <w:rPr>
        <w:b/>
        <w:bCs/>
        <w:color w:val="548DD4"/>
      </w:rPr>
    </w:pPr>
    <w:r>
      <w:rPr>
        <w:noProof/>
        <w:lang w:val="bg-BG" w:eastAsia="bg-BG"/>
      </w:rPr>
      <w:drawing>
        <wp:anchor distT="0" distB="0" distL="114300" distR="114300" simplePos="0" relativeHeight="251672576" behindDoc="0" locked="1" layoutInCell="1" allowOverlap="1">
          <wp:simplePos x="0" y="0"/>
          <wp:positionH relativeFrom="column">
            <wp:posOffset>29210</wp:posOffset>
          </wp:positionH>
          <wp:positionV relativeFrom="paragraph">
            <wp:posOffset>-78105</wp:posOffset>
          </wp:positionV>
          <wp:extent cx="828675" cy="755650"/>
          <wp:effectExtent l="0" t="0" r="9525" b="6350"/>
          <wp:wrapSquare wrapText="right"/>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55650"/>
                  </a:xfrm>
                  <a:prstGeom prst="rect">
                    <a:avLst/>
                  </a:prstGeom>
                  <a:noFill/>
                </pic:spPr>
              </pic:pic>
            </a:graphicData>
          </a:graphic>
          <wp14:sizeRelH relativeFrom="page">
            <wp14:pctWidth>0</wp14:pctWidth>
          </wp14:sizeRelH>
          <wp14:sizeRelV relativeFrom="page">
            <wp14:pctHeight>0</wp14:pctHeight>
          </wp14:sizeRelV>
        </wp:anchor>
      </w:drawing>
    </w:r>
    <w:r w:rsidRPr="00D3373B">
      <w:rPr>
        <w:b/>
        <w:bCs/>
        <w:color w:val="548DD4"/>
      </w:rPr>
      <w:t xml:space="preserve">ИНФОРМАЦИОНЕН ЛИСТ ЗА БЕЗОПАСНОСТ НА ПРОДУКТА </w:t>
    </w:r>
    <w:r w:rsidRPr="0070774F">
      <w:rPr>
        <w:b/>
        <w:bCs/>
        <w:color w:val="548DD4"/>
      </w:rPr>
      <w:t>за CaO,</w:t>
    </w:r>
    <w:r>
      <w:rPr>
        <w:b/>
        <w:bCs/>
        <w:color w:val="548DD4"/>
      </w:rPr>
      <w:t xml:space="preserve"> </w:t>
    </w:r>
  </w:p>
  <w:p w:rsidR="00AB5450" w:rsidRDefault="00AB5450" w:rsidP="00AB5450">
    <w:pPr>
      <w:spacing w:line="240" w:lineRule="atLeast"/>
      <w:jc w:val="center"/>
    </w:pPr>
    <w:r>
      <w:rPr>
        <w:b/>
        <w:color w:val="548DD4"/>
        <w:lang w:val="bg-BG"/>
      </w:rPr>
      <w:t xml:space="preserve">Изготвен в съответствие с </w:t>
    </w:r>
    <w:r w:rsidRPr="00005EB5">
      <w:rPr>
        <w:b/>
        <w:color w:val="548DD4"/>
        <w:lang w:val="bg-BG"/>
      </w:rPr>
      <w:t>Регламент</w:t>
    </w:r>
    <w:r>
      <w:rPr>
        <w:b/>
        <w:color w:val="548DD4"/>
        <w:lang w:val="bg-BG"/>
      </w:rPr>
      <w:t>и</w:t>
    </w:r>
    <w:r w:rsidR="00EC6055">
      <w:rPr>
        <w:b/>
        <w:color w:val="548DD4"/>
        <w:lang w:val="bg-BG"/>
      </w:rPr>
      <w:t xml:space="preserve"> (EС</w:t>
    </w:r>
    <w:r w:rsidRPr="00005EB5">
      <w:rPr>
        <w:b/>
        <w:color w:val="548DD4"/>
        <w:lang w:val="bg-BG"/>
      </w:rPr>
      <w:t>)</w:t>
    </w:r>
    <w:r w:rsidR="00EC6055">
      <w:rPr>
        <w:b/>
        <w:color w:val="548DD4"/>
        <w:lang w:val="bg-BG"/>
      </w:rPr>
      <w:t xml:space="preserve"> №</w:t>
    </w:r>
    <w:r>
      <w:rPr>
        <w:b/>
        <w:color w:val="548DD4"/>
        <w:lang w:val="bg-BG"/>
      </w:rPr>
      <w:t xml:space="preserve">1907/2006 </w:t>
    </w:r>
    <w:r w:rsidRPr="00005EB5">
      <w:rPr>
        <w:b/>
        <w:color w:val="548DD4"/>
        <w:lang w:val="bg-BG"/>
      </w:rPr>
      <w:t>/</w:t>
    </w:r>
    <w:r>
      <w:rPr>
        <w:b/>
        <w:color w:val="548DD4"/>
        <w:lang w:val="bg-BG"/>
      </w:rPr>
      <w:t xml:space="preserve"> </w:t>
    </w:r>
    <w:r>
      <w:rPr>
        <w:b/>
        <w:color w:val="548DD4"/>
        <w:lang w:val="en-US"/>
      </w:rPr>
      <w:t>REACH;</w:t>
    </w:r>
    <w:r>
      <w:t> </w:t>
    </w:r>
  </w:p>
  <w:p w:rsidR="00AB5450" w:rsidRDefault="00AB5450" w:rsidP="00EC6055">
    <w:pPr>
      <w:spacing w:line="240" w:lineRule="atLeast"/>
      <w:jc w:val="center"/>
      <w:rPr>
        <w:b/>
        <w:color w:val="548DD4"/>
        <w:lang w:val="bg-BG"/>
      </w:rPr>
    </w:pPr>
    <w:r>
      <w:rPr>
        <w:b/>
        <w:color w:val="548DD4"/>
        <w:lang w:val="bg-BG"/>
      </w:rPr>
      <w:t>Регламент</w:t>
    </w:r>
    <w:r w:rsidRPr="004465BF">
      <w:rPr>
        <w:b/>
        <w:color w:val="548DD4"/>
        <w:lang w:val="ru-RU"/>
      </w:rPr>
      <w:t xml:space="preserve"> (</w:t>
    </w:r>
    <w:r w:rsidRPr="004351B3">
      <w:rPr>
        <w:b/>
        <w:color w:val="548DD4"/>
        <w:lang w:val="en-US"/>
      </w:rPr>
      <w:t>EC</w:t>
    </w:r>
    <w:r w:rsidRPr="004465BF">
      <w:rPr>
        <w:b/>
        <w:color w:val="548DD4"/>
        <w:lang w:val="ru-RU"/>
      </w:rPr>
      <w:t xml:space="preserve">) 1272/2008 </w:t>
    </w:r>
    <w:r w:rsidR="00EC6055">
      <w:rPr>
        <w:b/>
        <w:color w:val="548DD4"/>
        <w:lang w:val="bg-BG"/>
      </w:rPr>
      <w:t>и изменения</w:t>
    </w:r>
  </w:p>
  <w:p w:rsidR="00EC6055" w:rsidRPr="00EC6055" w:rsidRDefault="00EC6055" w:rsidP="00EC6055">
    <w:pPr>
      <w:spacing w:line="240" w:lineRule="atLeast"/>
      <w:jc w:val="center"/>
      <w:rPr>
        <w:b/>
        <w:color w:val="548DD4"/>
        <w:lang w:val="en-US"/>
      </w:rPr>
    </w:pPr>
  </w:p>
  <w:p w:rsidR="00AB5450" w:rsidRPr="00331544" w:rsidRDefault="00AB5450" w:rsidP="00CC7DB8">
    <w:pPr>
      <w:spacing w:line="240" w:lineRule="auto"/>
      <w:jc w:val="center"/>
      <w:rPr>
        <w:b/>
        <w:bCs/>
        <w:color w:val="100999"/>
        <w:sz w:val="18"/>
        <w:szCs w:val="18"/>
      </w:rPr>
    </w:pPr>
  </w:p>
  <w:p w:rsidR="00AB5450" w:rsidRPr="00686844" w:rsidRDefault="00EC6055" w:rsidP="00686844">
    <w:pPr>
      <w:pStyle w:val="Kopzeile-fett"/>
      <w:pBdr>
        <w:top w:val="single" w:sz="4" w:space="1" w:color="auto"/>
        <w:bottom w:val="single" w:sz="4" w:space="1" w:color="auto"/>
      </w:pBdr>
      <w:rPr>
        <w:rFonts w:ascii="Calibri" w:hAnsi="Calibri" w:cs="Calibri"/>
        <w:color w:val="548DD4"/>
        <w:sz w:val="18"/>
        <w:szCs w:val="18"/>
      </w:rPr>
    </w:pPr>
    <w:r>
      <w:rPr>
        <w:rFonts w:ascii="Calibri" w:hAnsi="Calibri" w:cs="Calibri"/>
        <w:color w:val="548DD4"/>
        <w:sz w:val="18"/>
        <w:szCs w:val="18"/>
      </w:rPr>
      <w:t>Версия  5</w:t>
    </w:r>
    <w:r w:rsidR="00AB5450" w:rsidRPr="00686844">
      <w:rPr>
        <w:rFonts w:ascii="Calibri" w:hAnsi="Calibri" w:cs="Calibri"/>
        <w:color w:val="548DD4"/>
        <w:sz w:val="18"/>
        <w:szCs w:val="18"/>
      </w:rPr>
      <w:t>.0/BG</w:t>
    </w:r>
  </w:p>
  <w:p w:rsidR="00AB5450" w:rsidRPr="00173563" w:rsidRDefault="00AB5450" w:rsidP="00686844">
    <w:pPr>
      <w:pStyle w:val="Kopzeile-fett"/>
      <w:pBdr>
        <w:top w:val="single" w:sz="4" w:space="1" w:color="auto"/>
        <w:bottom w:val="single" w:sz="4" w:space="1" w:color="auto"/>
      </w:pBdr>
      <w:rPr>
        <w:rFonts w:ascii="Arial" w:hAnsi="Arial" w:cs="Arial"/>
        <w:color w:val="548DD4"/>
        <w:sz w:val="18"/>
        <w:szCs w:val="18"/>
        <w:lang w:val="bg-BG"/>
      </w:rPr>
    </w:pPr>
    <w:r w:rsidRPr="00686844">
      <w:rPr>
        <w:rFonts w:ascii="Calibri" w:hAnsi="Calibri" w:cs="Calibri"/>
        <w:color w:val="548DD4"/>
        <w:sz w:val="18"/>
        <w:szCs w:val="18"/>
      </w:rPr>
      <w:t xml:space="preserve">Дата на последна редакция: </w:t>
    </w:r>
    <w:r w:rsidR="00EC6055">
      <w:rPr>
        <w:rFonts w:ascii="Calibri" w:hAnsi="Calibri" w:cs="Calibri"/>
        <w:color w:val="548DD4"/>
        <w:sz w:val="18"/>
        <w:szCs w:val="18"/>
      </w:rPr>
      <w:t>Септември / 2017</w:t>
    </w:r>
    <w:r w:rsidRPr="00686844">
      <w:rPr>
        <w:rFonts w:ascii="Calibri" w:hAnsi="Calibri" w:cs="Calibri"/>
        <w:color w:val="548DD4"/>
        <w:sz w:val="18"/>
        <w:szCs w:val="18"/>
      </w:rPr>
      <w:tab/>
      <w:t xml:space="preserve">                               </w:t>
    </w:r>
    <w:r w:rsidR="00EC6055">
      <w:rPr>
        <w:rFonts w:ascii="Calibri" w:hAnsi="Calibri" w:cs="Calibri"/>
        <w:color w:val="548DD4"/>
        <w:sz w:val="18"/>
        <w:szCs w:val="18"/>
      </w:rPr>
      <w:t xml:space="preserve">                     </w:t>
    </w:r>
    <w:r w:rsidRPr="00686844">
      <w:rPr>
        <w:rFonts w:ascii="Calibri" w:hAnsi="Calibri" w:cs="Calibri"/>
        <w:color w:val="548DD4"/>
        <w:sz w:val="18"/>
        <w:szCs w:val="18"/>
      </w:rPr>
      <w:t xml:space="preserve">          </w:t>
    </w:r>
    <w:r w:rsidR="00DF0F7C">
      <w:rPr>
        <w:rFonts w:ascii="Calibri" w:hAnsi="Calibri"/>
        <w:color w:val="548DD4"/>
        <w:sz w:val="18"/>
        <w:szCs w:val="18"/>
        <w:lang w:val="bg-BG" w:eastAsia="en-US"/>
      </w:rPr>
      <w:t>Дата на отпечатване</w:t>
    </w:r>
    <w:r w:rsidR="00DF0F7C" w:rsidRPr="004465BF">
      <w:rPr>
        <w:rFonts w:ascii="Calibri" w:hAnsi="Calibri"/>
        <w:color w:val="548DD4"/>
        <w:sz w:val="18"/>
        <w:szCs w:val="18"/>
        <w:lang w:val="ru-RU" w:eastAsia="en-US"/>
      </w:rPr>
      <w:t xml:space="preserve">: </w:t>
    </w:r>
    <w:r w:rsidR="00DF0F7C">
      <w:rPr>
        <w:rFonts w:ascii="Calibri" w:hAnsi="Calibri"/>
        <w:color w:val="548DD4"/>
        <w:sz w:val="18"/>
        <w:szCs w:val="18"/>
        <w:lang w:val="en-US" w:eastAsia="en-US"/>
      </w:rPr>
      <w:fldChar w:fldCharType="begin"/>
    </w:r>
    <w:r w:rsidR="00DF0F7C">
      <w:rPr>
        <w:rFonts w:ascii="Calibri" w:hAnsi="Calibri"/>
        <w:color w:val="548DD4"/>
        <w:sz w:val="18"/>
        <w:szCs w:val="18"/>
        <w:lang w:val="en-US" w:eastAsia="en-US"/>
      </w:rPr>
      <w:instrText xml:space="preserve"> DATE  \@ "MMMM d, yyyy"  \* MERGEFORMAT </w:instrText>
    </w:r>
    <w:r w:rsidR="00DF0F7C">
      <w:rPr>
        <w:rFonts w:ascii="Calibri" w:hAnsi="Calibri"/>
        <w:color w:val="548DD4"/>
        <w:sz w:val="18"/>
        <w:szCs w:val="18"/>
        <w:lang w:val="en-US" w:eastAsia="en-US"/>
      </w:rPr>
      <w:fldChar w:fldCharType="separate"/>
    </w:r>
    <w:r w:rsidR="00EC6055">
      <w:rPr>
        <w:rFonts w:ascii="Calibri" w:hAnsi="Calibri"/>
        <w:noProof/>
        <w:color w:val="548DD4"/>
        <w:sz w:val="18"/>
        <w:szCs w:val="18"/>
        <w:lang w:val="en-US" w:eastAsia="en-US"/>
      </w:rPr>
      <w:t>April 26, 2018</w:t>
    </w:r>
    <w:r w:rsidR="00DF0F7C">
      <w:rPr>
        <w:rFonts w:ascii="Calibri" w:hAnsi="Calibri"/>
        <w:color w:val="548DD4"/>
        <w:sz w:val="18"/>
        <w:szCs w:val="18"/>
        <w:lang w:val="en-US" w:eastAsia="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0" w:rsidRPr="00CC7DB8" w:rsidRDefault="00AB5450" w:rsidP="005004EF">
    <w:pPr>
      <w:ind w:firstLine="567"/>
      <w:rPr>
        <w:b/>
        <w:bCs/>
        <w:color w:val="548DD4"/>
      </w:rPr>
    </w:pPr>
    <w:r>
      <w:rPr>
        <w:noProof/>
        <w:lang w:val="bg-BG" w:eastAsia="bg-BG"/>
      </w:rPr>
      <w:drawing>
        <wp:anchor distT="0" distB="0" distL="114300" distR="114300" simplePos="0" relativeHeight="251674624" behindDoc="0" locked="1" layoutInCell="1" allowOverlap="1">
          <wp:simplePos x="0" y="0"/>
          <wp:positionH relativeFrom="column">
            <wp:posOffset>29210</wp:posOffset>
          </wp:positionH>
          <wp:positionV relativeFrom="paragraph">
            <wp:posOffset>-78105</wp:posOffset>
          </wp:positionV>
          <wp:extent cx="828675" cy="755650"/>
          <wp:effectExtent l="0" t="0" r="9525" b="6350"/>
          <wp:wrapSquare wrapText="right"/>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55650"/>
                  </a:xfrm>
                  <a:prstGeom prst="rect">
                    <a:avLst/>
                  </a:prstGeom>
                  <a:noFill/>
                </pic:spPr>
              </pic:pic>
            </a:graphicData>
          </a:graphic>
          <wp14:sizeRelH relativeFrom="page">
            <wp14:pctWidth>0</wp14:pctWidth>
          </wp14:sizeRelH>
          <wp14:sizeRelV relativeFrom="page">
            <wp14:pctHeight>0</wp14:pctHeight>
          </wp14:sizeRelV>
        </wp:anchor>
      </w:drawing>
    </w:r>
    <w:r w:rsidRPr="00D3373B">
      <w:rPr>
        <w:b/>
        <w:bCs/>
        <w:color w:val="548DD4"/>
      </w:rPr>
      <w:t xml:space="preserve">ИНФОРМАЦИОНЕН ЛИСТ ЗА БЕЗОПАСНОСТ НА ПРОДУКТА </w:t>
    </w:r>
    <w:r w:rsidRPr="0070774F">
      <w:rPr>
        <w:b/>
        <w:bCs/>
        <w:color w:val="548DD4"/>
      </w:rPr>
      <w:t>за CaO,</w:t>
    </w:r>
    <w:r>
      <w:rPr>
        <w:b/>
        <w:bCs/>
        <w:color w:val="548DD4"/>
      </w:rPr>
      <w:t xml:space="preserve"> </w:t>
    </w:r>
  </w:p>
  <w:p w:rsidR="005004EF" w:rsidRDefault="005004EF" w:rsidP="005004EF">
    <w:pPr>
      <w:spacing w:line="240" w:lineRule="atLeast"/>
      <w:jc w:val="center"/>
    </w:pPr>
    <w:r>
      <w:rPr>
        <w:b/>
        <w:color w:val="548DD4"/>
        <w:lang w:val="bg-BG"/>
      </w:rPr>
      <w:t xml:space="preserve">Изготвен в съответствие с </w:t>
    </w:r>
    <w:r w:rsidRPr="00005EB5">
      <w:rPr>
        <w:b/>
        <w:color w:val="548DD4"/>
        <w:lang w:val="bg-BG"/>
      </w:rPr>
      <w:t>Регламент</w:t>
    </w:r>
    <w:r w:rsidR="00EC6055">
      <w:rPr>
        <w:b/>
        <w:color w:val="548DD4"/>
        <w:lang w:val="bg-BG"/>
      </w:rPr>
      <w:t xml:space="preserve"> (EС</w:t>
    </w:r>
    <w:r w:rsidRPr="00005EB5">
      <w:rPr>
        <w:b/>
        <w:color w:val="548DD4"/>
        <w:lang w:val="bg-BG"/>
      </w:rPr>
      <w:t xml:space="preserve">) </w:t>
    </w:r>
    <w:r w:rsidR="00EC6055">
      <w:rPr>
        <w:b/>
        <w:color w:val="548DD4"/>
        <w:lang w:val="bg-BG"/>
      </w:rPr>
      <w:t>№</w:t>
    </w:r>
    <w:r w:rsidRPr="00005EB5">
      <w:rPr>
        <w:b/>
        <w:color w:val="548DD4"/>
        <w:lang w:val="bg-BG"/>
      </w:rPr>
      <w:t xml:space="preserve"> </w:t>
    </w:r>
    <w:r>
      <w:rPr>
        <w:b/>
        <w:color w:val="548DD4"/>
        <w:lang w:val="bg-BG"/>
      </w:rPr>
      <w:t xml:space="preserve">1907/2006 </w:t>
    </w:r>
    <w:r w:rsidRPr="00005EB5">
      <w:rPr>
        <w:b/>
        <w:color w:val="548DD4"/>
        <w:lang w:val="bg-BG"/>
      </w:rPr>
      <w:t>/</w:t>
    </w:r>
    <w:r>
      <w:rPr>
        <w:b/>
        <w:color w:val="548DD4"/>
        <w:lang w:val="bg-BG"/>
      </w:rPr>
      <w:t xml:space="preserve"> </w:t>
    </w:r>
    <w:r>
      <w:rPr>
        <w:b/>
        <w:color w:val="548DD4"/>
        <w:lang w:val="en-US"/>
      </w:rPr>
      <w:t>REACH;</w:t>
    </w:r>
    <w:r>
      <w:t> </w:t>
    </w:r>
  </w:p>
  <w:p w:rsidR="00AB5450" w:rsidRDefault="005004EF" w:rsidP="00EC6055">
    <w:pPr>
      <w:spacing w:line="240" w:lineRule="atLeast"/>
      <w:jc w:val="center"/>
      <w:rPr>
        <w:b/>
        <w:color w:val="548DD4"/>
        <w:lang w:val="bg-BG"/>
      </w:rPr>
    </w:pPr>
    <w:r>
      <w:rPr>
        <w:b/>
        <w:color w:val="548DD4"/>
        <w:lang w:val="bg-BG"/>
      </w:rPr>
      <w:t>Регламент</w:t>
    </w:r>
    <w:r w:rsidRPr="004465BF">
      <w:rPr>
        <w:b/>
        <w:color w:val="548DD4"/>
        <w:lang w:val="ru-RU"/>
      </w:rPr>
      <w:t xml:space="preserve"> (</w:t>
    </w:r>
    <w:r w:rsidRPr="004351B3">
      <w:rPr>
        <w:b/>
        <w:color w:val="548DD4"/>
        <w:lang w:val="en-US"/>
      </w:rPr>
      <w:t>EC</w:t>
    </w:r>
    <w:r w:rsidRPr="004465BF">
      <w:rPr>
        <w:b/>
        <w:color w:val="548DD4"/>
        <w:lang w:val="ru-RU"/>
      </w:rPr>
      <w:t xml:space="preserve">) 1272/2008 </w:t>
    </w:r>
    <w:r>
      <w:rPr>
        <w:b/>
        <w:color w:val="548DD4"/>
        <w:lang w:val="bg-BG"/>
      </w:rPr>
      <w:t xml:space="preserve">и </w:t>
    </w:r>
    <w:r w:rsidR="00EC6055">
      <w:rPr>
        <w:b/>
        <w:color w:val="548DD4"/>
        <w:lang w:val="bg-BG"/>
      </w:rPr>
      <w:t>изменения</w:t>
    </w:r>
  </w:p>
  <w:p w:rsidR="00EC6055" w:rsidRPr="00D3373B" w:rsidRDefault="00EC6055" w:rsidP="00EC6055">
    <w:pPr>
      <w:spacing w:line="240" w:lineRule="atLeast"/>
      <w:jc w:val="center"/>
      <w:rPr>
        <w:b/>
        <w:bCs/>
        <w:color w:val="548DD4"/>
      </w:rPr>
    </w:pPr>
  </w:p>
  <w:p w:rsidR="00AB5450" w:rsidRPr="00331544" w:rsidRDefault="00AB5450" w:rsidP="00CC7DB8">
    <w:pPr>
      <w:spacing w:line="240" w:lineRule="auto"/>
      <w:jc w:val="center"/>
      <w:rPr>
        <w:b/>
        <w:bCs/>
        <w:color w:val="100999"/>
        <w:sz w:val="18"/>
        <w:szCs w:val="18"/>
      </w:rPr>
    </w:pPr>
  </w:p>
  <w:p w:rsidR="00AB5450" w:rsidRPr="00686844" w:rsidRDefault="00EC6055" w:rsidP="00686844">
    <w:pPr>
      <w:pStyle w:val="Kopzeile-fett"/>
      <w:pBdr>
        <w:top w:val="single" w:sz="4" w:space="1" w:color="auto"/>
        <w:bottom w:val="single" w:sz="4" w:space="1" w:color="auto"/>
      </w:pBdr>
      <w:rPr>
        <w:rFonts w:ascii="Calibri" w:hAnsi="Calibri" w:cs="Calibri"/>
        <w:color w:val="548DD4"/>
        <w:sz w:val="18"/>
        <w:szCs w:val="18"/>
      </w:rPr>
    </w:pPr>
    <w:r>
      <w:rPr>
        <w:rFonts w:ascii="Calibri" w:hAnsi="Calibri" w:cs="Calibri"/>
        <w:color w:val="548DD4"/>
        <w:sz w:val="18"/>
        <w:szCs w:val="18"/>
      </w:rPr>
      <w:t>Версия  5</w:t>
    </w:r>
    <w:r w:rsidR="00AB5450" w:rsidRPr="00686844">
      <w:rPr>
        <w:rFonts w:ascii="Calibri" w:hAnsi="Calibri" w:cs="Calibri"/>
        <w:color w:val="548DD4"/>
        <w:sz w:val="18"/>
        <w:szCs w:val="18"/>
      </w:rPr>
      <w:t>.0/BG</w:t>
    </w:r>
  </w:p>
  <w:p w:rsidR="00AB5450" w:rsidRPr="00852FA7" w:rsidRDefault="00EC6055" w:rsidP="00686844">
    <w:pPr>
      <w:pStyle w:val="Kopzeile-fett"/>
      <w:pBdr>
        <w:top w:val="single" w:sz="4" w:space="1" w:color="auto"/>
        <w:bottom w:val="single" w:sz="4" w:space="1" w:color="auto"/>
      </w:pBdr>
      <w:rPr>
        <w:rFonts w:ascii="Arial" w:hAnsi="Arial" w:cs="Arial"/>
        <w:color w:val="548DD4"/>
        <w:sz w:val="18"/>
        <w:szCs w:val="18"/>
        <w:lang w:val="bg-BG"/>
      </w:rPr>
    </w:pPr>
    <w:r>
      <w:rPr>
        <w:rFonts w:ascii="Calibri" w:hAnsi="Calibri" w:cs="Calibri"/>
        <w:color w:val="548DD4"/>
        <w:sz w:val="18"/>
        <w:szCs w:val="18"/>
      </w:rPr>
      <w:t>Дата на последна редакция: Септември / 2017</w:t>
    </w:r>
    <w:r w:rsidR="00AB5450" w:rsidRPr="00686844">
      <w:rPr>
        <w:rFonts w:ascii="Calibri" w:hAnsi="Calibri" w:cs="Calibri"/>
        <w:color w:val="548DD4"/>
        <w:sz w:val="18"/>
        <w:szCs w:val="18"/>
      </w:rPr>
      <w:tab/>
      <w:t xml:space="preserve">                                   </w:t>
    </w:r>
    <w:r>
      <w:rPr>
        <w:rFonts w:ascii="Calibri" w:hAnsi="Calibri" w:cs="Calibri"/>
        <w:color w:val="548DD4"/>
        <w:sz w:val="18"/>
        <w:szCs w:val="18"/>
      </w:rPr>
      <w:t xml:space="preserve">        </w:t>
    </w:r>
    <w:r w:rsidR="005004EF">
      <w:rPr>
        <w:rFonts w:ascii="Calibri" w:hAnsi="Calibri" w:cs="Calibri"/>
        <w:color w:val="548DD4"/>
        <w:sz w:val="18"/>
        <w:szCs w:val="18"/>
      </w:rPr>
      <w:t xml:space="preserve">          </w:t>
    </w:r>
    <w:r w:rsidR="00AB5450" w:rsidRPr="00686844">
      <w:rPr>
        <w:rFonts w:ascii="Calibri" w:hAnsi="Calibri" w:cs="Calibri"/>
        <w:color w:val="548DD4"/>
        <w:sz w:val="18"/>
        <w:szCs w:val="18"/>
      </w:rPr>
      <w:t xml:space="preserve">         </w:t>
    </w:r>
    <w:r w:rsidR="005004EF">
      <w:rPr>
        <w:rFonts w:ascii="Calibri" w:hAnsi="Calibri"/>
        <w:color w:val="548DD4"/>
        <w:sz w:val="18"/>
        <w:szCs w:val="18"/>
        <w:lang w:val="bg-BG" w:eastAsia="en-US"/>
      </w:rPr>
      <w:t>Дата на отпечатване</w:t>
    </w:r>
    <w:r w:rsidR="005004EF" w:rsidRPr="004465BF">
      <w:rPr>
        <w:rFonts w:ascii="Calibri" w:hAnsi="Calibri"/>
        <w:color w:val="548DD4"/>
        <w:sz w:val="18"/>
        <w:szCs w:val="18"/>
        <w:lang w:val="ru-RU" w:eastAsia="en-US"/>
      </w:rPr>
      <w:t xml:space="preserve">: </w:t>
    </w:r>
    <w:r w:rsidR="005004EF">
      <w:rPr>
        <w:rFonts w:ascii="Calibri" w:hAnsi="Calibri"/>
        <w:color w:val="548DD4"/>
        <w:sz w:val="18"/>
        <w:szCs w:val="18"/>
        <w:lang w:val="en-US" w:eastAsia="en-US"/>
      </w:rPr>
      <w:fldChar w:fldCharType="begin"/>
    </w:r>
    <w:r w:rsidR="005004EF">
      <w:rPr>
        <w:rFonts w:ascii="Calibri" w:hAnsi="Calibri"/>
        <w:color w:val="548DD4"/>
        <w:sz w:val="18"/>
        <w:szCs w:val="18"/>
        <w:lang w:val="en-US" w:eastAsia="en-US"/>
      </w:rPr>
      <w:instrText xml:space="preserve"> DATE  \@ "MMMM d, yyyy"  \* MERGEFORMAT </w:instrText>
    </w:r>
    <w:r w:rsidR="005004EF">
      <w:rPr>
        <w:rFonts w:ascii="Calibri" w:hAnsi="Calibri"/>
        <w:color w:val="548DD4"/>
        <w:sz w:val="18"/>
        <w:szCs w:val="18"/>
        <w:lang w:val="en-US" w:eastAsia="en-US"/>
      </w:rPr>
      <w:fldChar w:fldCharType="separate"/>
    </w:r>
    <w:r>
      <w:rPr>
        <w:rFonts w:ascii="Calibri" w:hAnsi="Calibri"/>
        <w:noProof/>
        <w:color w:val="548DD4"/>
        <w:sz w:val="18"/>
        <w:szCs w:val="18"/>
        <w:lang w:val="en-US" w:eastAsia="en-US"/>
      </w:rPr>
      <w:t>April 26, 2018</w:t>
    </w:r>
    <w:r w:rsidR="005004EF">
      <w:rPr>
        <w:rFonts w:ascii="Calibri" w:hAnsi="Calibri"/>
        <w:color w:val="548DD4"/>
        <w:sz w:val="18"/>
        <w:szCs w:val="18"/>
        <w:lang w:val="en-US" w:eastAsia="en-U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0" w:rsidRPr="00CC7DB8" w:rsidRDefault="00AB5450" w:rsidP="000B77AF">
    <w:pPr>
      <w:ind w:left="1560" w:firstLine="425"/>
      <w:rPr>
        <w:b/>
        <w:bCs/>
        <w:color w:val="548DD4"/>
      </w:rPr>
    </w:pPr>
    <w:r>
      <w:rPr>
        <w:noProof/>
        <w:lang w:val="bg-BG" w:eastAsia="bg-BG"/>
      </w:rPr>
      <w:drawing>
        <wp:anchor distT="0" distB="0" distL="114300" distR="114300" simplePos="0" relativeHeight="251676672" behindDoc="0" locked="1" layoutInCell="1" allowOverlap="1">
          <wp:simplePos x="0" y="0"/>
          <wp:positionH relativeFrom="column">
            <wp:posOffset>29210</wp:posOffset>
          </wp:positionH>
          <wp:positionV relativeFrom="paragraph">
            <wp:posOffset>-78105</wp:posOffset>
          </wp:positionV>
          <wp:extent cx="828675" cy="755650"/>
          <wp:effectExtent l="0" t="0" r="9525" b="6350"/>
          <wp:wrapSquare wrapText="right"/>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55650"/>
                  </a:xfrm>
                  <a:prstGeom prst="rect">
                    <a:avLst/>
                  </a:prstGeom>
                  <a:noFill/>
                </pic:spPr>
              </pic:pic>
            </a:graphicData>
          </a:graphic>
          <wp14:sizeRelH relativeFrom="page">
            <wp14:pctWidth>0</wp14:pctWidth>
          </wp14:sizeRelH>
          <wp14:sizeRelV relativeFrom="page">
            <wp14:pctHeight>0</wp14:pctHeight>
          </wp14:sizeRelV>
        </wp:anchor>
      </w:drawing>
    </w:r>
    <w:r w:rsidRPr="00D3373B">
      <w:rPr>
        <w:b/>
        <w:bCs/>
        <w:color w:val="548DD4"/>
      </w:rPr>
      <w:t xml:space="preserve">ИНФОРМАЦИОНЕН ЛИСТ ЗА БЕЗОПАСНОСТ НА ПРОДУКТА </w:t>
    </w:r>
    <w:r w:rsidRPr="0070774F">
      <w:rPr>
        <w:b/>
        <w:bCs/>
        <w:color w:val="548DD4"/>
      </w:rPr>
      <w:t>за CaO</w:t>
    </w:r>
    <w:r>
      <w:rPr>
        <w:b/>
        <w:bCs/>
        <w:color w:val="548DD4"/>
      </w:rPr>
      <w:t xml:space="preserve">, </w:t>
    </w:r>
  </w:p>
  <w:p w:rsidR="005004EF" w:rsidRDefault="005004EF" w:rsidP="005004EF">
    <w:pPr>
      <w:spacing w:line="240" w:lineRule="atLeast"/>
      <w:jc w:val="center"/>
    </w:pPr>
    <w:r>
      <w:rPr>
        <w:b/>
        <w:color w:val="548DD4"/>
        <w:lang w:val="bg-BG"/>
      </w:rPr>
      <w:t xml:space="preserve">Изготвен в съответствие с </w:t>
    </w:r>
    <w:r w:rsidRPr="00005EB5">
      <w:rPr>
        <w:b/>
        <w:color w:val="548DD4"/>
        <w:lang w:val="bg-BG"/>
      </w:rPr>
      <w:t>Регламент</w:t>
    </w:r>
    <w:r>
      <w:rPr>
        <w:b/>
        <w:color w:val="548DD4"/>
        <w:lang w:val="bg-BG"/>
      </w:rPr>
      <w:t>и</w:t>
    </w:r>
    <w:r w:rsidR="00EC6055">
      <w:rPr>
        <w:b/>
        <w:color w:val="548DD4"/>
        <w:lang w:val="bg-BG"/>
      </w:rPr>
      <w:t xml:space="preserve"> (EС) №</w:t>
    </w:r>
    <w:r w:rsidRPr="00005EB5">
      <w:rPr>
        <w:b/>
        <w:color w:val="548DD4"/>
        <w:lang w:val="bg-BG"/>
      </w:rPr>
      <w:t xml:space="preserve"> </w:t>
    </w:r>
    <w:r>
      <w:rPr>
        <w:b/>
        <w:color w:val="548DD4"/>
        <w:lang w:val="bg-BG"/>
      </w:rPr>
      <w:t xml:space="preserve">1907/2006 </w:t>
    </w:r>
    <w:r w:rsidRPr="00005EB5">
      <w:rPr>
        <w:b/>
        <w:color w:val="548DD4"/>
        <w:lang w:val="bg-BG"/>
      </w:rPr>
      <w:t>/</w:t>
    </w:r>
    <w:r>
      <w:rPr>
        <w:b/>
        <w:color w:val="548DD4"/>
        <w:lang w:val="bg-BG"/>
      </w:rPr>
      <w:t xml:space="preserve"> </w:t>
    </w:r>
    <w:r>
      <w:rPr>
        <w:b/>
        <w:color w:val="548DD4"/>
        <w:lang w:val="en-US"/>
      </w:rPr>
      <w:t>REACH;</w:t>
    </w:r>
    <w:r>
      <w:t> </w:t>
    </w:r>
  </w:p>
  <w:p w:rsidR="00EC6055" w:rsidRPr="00005EB5" w:rsidRDefault="005004EF" w:rsidP="00EC6055">
    <w:pPr>
      <w:spacing w:line="240" w:lineRule="atLeast"/>
      <w:jc w:val="center"/>
      <w:rPr>
        <w:b/>
        <w:color w:val="548DD4"/>
        <w:lang w:val="bg-BG"/>
      </w:rPr>
    </w:pPr>
    <w:r>
      <w:rPr>
        <w:b/>
        <w:color w:val="548DD4"/>
        <w:lang w:val="bg-BG"/>
      </w:rPr>
      <w:t>Регламент</w:t>
    </w:r>
    <w:r w:rsidRPr="004465BF">
      <w:rPr>
        <w:b/>
        <w:color w:val="548DD4"/>
        <w:lang w:val="ru-RU"/>
      </w:rPr>
      <w:t xml:space="preserve"> (</w:t>
    </w:r>
    <w:r w:rsidRPr="004351B3">
      <w:rPr>
        <w:b/>
        <w:color w:val="548DD4"/>
        <w:lang w:val="en-US"/>
      </w:rPr>
      <w:t>EC</w:t>
    </w:r>
    <w:r w:rsidRPr="004465BF">
      <w:rPr>
        <w:b/>
        <w:color w:val="548DD4"/>
        <w:lang w:val="ru-RU"/>
      </w:rPr>
      <w:t xml:space="preserve">) 1272/2008 </w:t>
    </w:r>
    <w:r>
      <w:rPr>
        <w:b/>
        <w:color w:val="548DD4"/>
        <w:lang w:val="bg-BG"/>
      </w:rPr>
      <w:t xml:space="preserve">и </w:t>
    </w:r>
    <w:r w:rsidR="00EC6055">
      <w:rPr>
        <w:b/>
        <w:color w:val="548DD4"/>
        <w:lang w:val="bg-BG"/>
      </w:rPr>
      <w:t>изменения</w:t>
    </w:r>
  </w:p>
  <w:p w:rsidR="00AB5450" w:rsidRPr="00D3373B" w:rsidRDefault="005004EF" w:rsidP="005004EF">
    <w:pPr>
      <w:jc w:val="center"/>
      <w:rPr>
        <w:b/>
        <w:bCs/>
        <w:color w:val="548DD4"/>
      </w:rPr>
    </w:pPr>
    <w:r w:rsidRPr="00005EB5">
      <w:rPr>
        <w:b/>
        <w:color w:val="548DD4"/>
        <w:lang w:val="bg-BG"/>
      </w:rPr>
      <w:t xml:space="preserve"> </w:t>
    </w:r>
  </w:p>
  <w:p w:rsidR="00AB5450" w:rsidRPr="00331544" w:rsidRDefault="00AB5450" w:rsidP="00CC7DB8">
    <w:pPr>
      <w:spacing w:line="240" w:lineRule="auto"/>
      <w:jc w:val="center"/>
      <w:rPr>
        <w:b/>
        <w:bCs/>
        <w:color w:val="100999"/>
        <w:sz w:val="18"/>
        <w:szCs w:val="18"/>
      </w:rPr>
    </w:pPr>
  </w:p>
  <w:p w:rsidR="00AB5450" w:rsidRPr="00686844" w:rsidRDefault="00EC6055" w:rsidP="00686844">
    <w:pPr>
      <w:pStyle w:val="Kopzeile-fett"/>
      <w:pBdr>
        <w:top w:val="single" w:sz="4" w:space="1" w:color="auto"/>
        <w:bottom w:val="single" w:sz="4" w:space="1" w:color="auto"/>
      </w:pBdr>
      <w:rPr>
        <w:rFonts w:ascii="Calibri" w:hAnsi="Calibri" w:cs="Calibri"/>
        <w:color w:val="548DD4"/>
        <w:sz w:val="18"/>
        <w:szCs w:val="18"/>
      </w:rPr>
    </w:pPr>
    <w:r>
      <w:rPr>
        <w:rFonts w:ascii="Calibri" w:hAnsi="Calibri" w:cs="Calibri"/>
        <w:color w:val="548DD4"/>
        <w:sz w:val="18"/>
        <w:szCs w:val="18"/>
      </w:rPr>
      <w:t>Версия  5</w:t>
    </w:r>
    <w:r w:rsidR="00AB5450" w:rsidRPr="00686844">
      <w:rPr>
        <w:rFonts w:ascii="Calibri" w:hAnsi="Calibri" w:cs="Calibri"/>
        <w:color w:val="548DD4"/>
        <w:sz w:val="18"/>
        <w:szCs w:val="18"/>
      </w:rPr>
      <w:t>.0/BG</w:t>
    </w:r>
  </w:p>
  <w:p w:rsidR="00AB5450" w:rsidRPr="00852FA7" w:rsidRDefault="00AB5450" w:rsidP="00686844">
    <w:pPr>
      <w:pStyle w:val="Kopzeile-fett"/>
      <w:pBdr>
        <w:top w:val="single" w:sz="4" w:space="1" w:color="auto"/>
        <w:bottom w:val="single" w:sz="4" w:space="1" w:color="auto"/>
      </w:pBdr>
      <w:rPr>
        <w:rFonts w:ascii="Arial" w:hAnsi="Arial" w:cs="Arial"/>
        <w:color w:val="548DD4"/>
        <w:sz w:val="18"/>
        <w:szCs w:val="18"/>
        <w:lang w:val="bg-BG"/>
      </w:rPr>
    </w:pPr>
    <w:r w:rsidRPr="00686844">
      <w:rPr>
        <w:rFonts w:ascii="Calibri" w:hAnsi="Calibri" w:cs="Calibri"/>
        <w:color w:val="548DD4"/>
        <w:sz w:val="18"/>
        <w:szCs w:val="18"/>
      </w:rPr>
      <w:t xml:space="preserve">Дата на последна редакция: </w:t>
    </w:r>
    <w:r w:rsidR="00EC6055">
      <w:rPr>
        <w:rFonts w:ascii="Calibri" w:hAnsi="Calibri" w:cs="Calibri"/>
        <w:color w:val="548DD4"/>
        <w:sz w:val="18"/>
        <w:szCs w:val="18"/>
      </w:rPr>
      <w:t>Септември / 2017</w:t>
    </w:r>
    <w:r w:rsidRPr="00686844">
      <w:rPr>
        <w:rFonts w:ascii="Calibri" w:hAnsi="Calibri" w:cs="Calibri"/>
        <w:color w:val="548DD4"/>
        <w:sz w:val="18"/>
        <w:szCs w:val="18"/>
      </w:rPr>
      <w:tab/>
      <w:t xml:space="preserve">                                </w:t>
    </w:r>
    <w:r w:rsidR="005004EF">
      <w:rPr>
        <w:rFonts w:ascii="Calibri" w:hAnsi="Calibri" w:cs="Calibri"/>
        <w:color w:val="548DD4"/>
        <w:sz w:val="18"/>
        <w:szCs w:val="18"/>
      </w:rPr>
      <w:t xml:space="preserve">                   </w:t>
    </w:r>
    <w:r w:rsidRPr="00686844">
      <w:rPr>
        <w:rFonts w:ascii="Calibri" w:hAnsi="Calibri" w:cs="Calibri"/>
        <w:color w:val="548DD4"/>
        <w:sz w:val="18"/>
        <w:szCs w:val="18"/>
      </w:rPr>
      <w:t xml:space="preserve">            </w:t>
    </w:r>
    <w:r w:rsidR="005004EF">
      <w:rPr>
        <w:rFonts w:ascii="Calibri" w:hAnsi="Calibri"/>
        <w:color w:val="548DD4"/>
        <w:sz w:val="18"/>
        <w:szCs w:val="18"/>
        <w:lang w:val="bg-BG" w:eastAsia="en-US"/>
      </w:rPr>
      <w:t>Дата на отпечатване</w:t>
    </w:r>
    <w:r w:rsidR="005004EF" w:rsidRPr="004465BF">
      <w:rPr>
        <w:rFonts w:ascii="Calibri" w:hAnsi="Calibri"/>
        <w:color w:val="548DD4"/>
        <w:sz w:val="18"/>
        <w:szCs w:val="18"/>
        <w:lang w:val="ru-RU" w:eastAsia="en-US"/>
      </w:rPr>
      <w:t xml:space="preserve">: </w:t>
    </w:r>
    <w:r w:rsidR="005004EF">
      <w:rPr>
        <w:rFonts w:ascii="Calibri" w:hAnsi="Calibri"/>
        <w:color w:val="548DD4"/>
        <w:sz w:val="18"/>
        <w:szCs w:val="18"/>
        <w:lang w:val="en-US" w:eastAsia="en-US"/>
      </w:rPr>
      <w:fldChar w:fldCharType="begin"/>
    </w:r>
    <w:r w:rsidR="005004EF">
      <w:rPr>
        <w:rFonts w:ascii="Calibri" w:hAnsi="Calibri"/>
        <w:color w:val="548DD4"/>
        <w:sz w:val="18"/>
        <w:szCs w:val="18"/>
        <w:lang w:val="en-US" w:eastAsia="en-US"/>
      </w:rPr>
      <w:instrText xml:space="preserve"> DATE  \@ "MMMM d, yyyy"  \* MERGEFORMAT </w:instrText>
    </w:r>
    <w:r w:rsidR="005004EF">
      <w:rPr>
        <w:rFonts w:ascii="Calibri" w:hAnsi="Calibri"/>
        <w:color w:val="548DD4"/>
        <w:sz w:val="18"/>
        <w:szCs w:val="18"/>
        <w:lang w:val="en-US" w:eastAsia="en-US"/>
      </w:rPr>
      <w:fldChar w:fldCharType="separate"/>
    </w:r>
    <w:r w:rsidR="00EC6055">
      <w:rPr>
        <w:rFonts w:ascii="Calibri" w:hAnsi="Calibri"/>
        <w:noProof/>
        <w:color w:val="548DD4"/>
        <w:sz w:val="18"/>
        <w:szCs w:val="18"/>
        <w:lang w:val="en-US" w:eastAsia="en-US"/>
      </w:rPr>
      <w:t>April 26, 2018</w:t>
    </w:r>
    <w:r w:rsidR="005004EF">
      <w:rPr>
        <w:rFonts w:ascii="Calibri" w:hAnsi="Calibri"/>
        <w:color w:val="548DD4"/>
        <w:sz w:val="18"/>
        <w:szCs w:val="18"/>
        <w:lang w:val="en-US" w:eastAsia="en-U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0" w:rsidRPr="00CC7DB8" w:rsidRDefault="00AB5450" w:rsidP="005004EF">
    <w:pPr>
      <w:ind w:left="1560" w:firstLine="567"/>
      <w:rPr>
        <w:b/>
        <w:bCs/>
        <w:color w:val="548DD4"/>
      </w:rPr>
    </w:pPr>
    <w:r>
      <w:rPr>
        <w:noProof/>
        <w:lang w:val="bg-BG" w:eastAsia="bg-BG"/>
      </w:rPr>
      <w:drawing>
        <wp:anchor distT="0" distB="0" distL="114300" distR="114300" simplePos="0" relativeHeight="251678720" behindDoc="0" locked="1" layoutInCell="1" allowOverlap="1">
          <wp:simplePos x="0" y="0"/>
          <wp:positionH relativeFrom="column">
            <wp:posOffset>29210</wp:posOffset>
          </wp:positionH>
          <wp:positionV relativeFrom="paragraph">
            <wp:posOffset>-78105</wp:posOffset>
          </wp:positionV>
          <wp:extent cx="828675" cy="755650"/>
          <wp:effectExtent l="0" t="0" r="9525" b="6350"/>
          <wp:wrapSquare wrapText="right"/>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55650"/>
                  </a:xfrm>
                  <a:prstGeom prst="rect">
                    <a:avLst/>
                  </a:prstGeom>
                  <a:noFill/>
                </pic:spPr>
              </pic:pic>
            </a:graphicData>
          </a:graphic>
          <wp14:sizeRelH relativeFrom="page">
            <wp14:pctWidth>0</wp14:pctWidth>
          </wp14:sizeRelH>
          <wp14:sizeRelV relativeFrom="page">
            <wp14:pctHeight>0</wp14:pctHeight>
          </wp14:sizeRelV>
        </wp:anchor>
      </w:drawing>
    </w:r>
    <w:r w:rsidRPr="00D3373B">
      <w:rPr>
        <w:b/>
        <w:bCs/>
        <w:color w:val="548DD4"/>
      </w:rPr>
      <w:t xml:space="preserve">ИНФОРМАЦИОНЕН ЛИСТ ЗА БЕЗОПАСНОСТ НА ПРОДУКТА </w:t>
    </w:r>
    <w:r w:rsidRPr="0070774F">
      <w:rPr>
        <w:b/>
        <w:bCs/>
        <w:color w:val="548DD4"/>
      </w:rPr>
      <w:t>за CaO,</w:t>
    </w:r>
    <w:r>
      <w:rPr>
        <w:b/>
        <w:bCs/>
        <w:color w:val="548DD4"/>
      </w:rPr>
      <w:t xml:space="preserve"> </w:t>
    </w:r>
  </w:p>
  <w:p w:rsidR="005004EF" w:rsidRDefault="005004EF" w:rsidP="005004EF">
    <w:pPr>
      <w:spacing w:line="240" w:lineRule="atLeast"/>
      <w:jc w:val="center"/>
    </w:pPr>
    <w:r>
      <w:rPr>
        <w:b/>
        <w:color w:val="548DD4"/>
        <w:lang w:val="bg-BG"/>
      </w:rPr>
      <w:t xml:space="preserve">Изготвен в съответствие с </w:t>
    </w:r>
    <w:r w:rsidRPr="00005EB5">
      <w:rPr>
        <w:b/>
        <w:color w:val="548DD4"/>
        <w:lang w:val="bg-BG"/>
      </w:rPr>
      <w:t>Регламент</w:t>
    </w:r>
    <w:r w:rsidR="00EC6055">
      <w:rPr>
        <w:b/>
        <w:color w:val="548DD4"/>
        <w:lang w:val="bg-BG"/>
      </w:rPr>
      <w:t xml:space="preserve"> (EС</w:t>
    </w:r>
    <w:r w:rsidRPr="00005EB5">
      <w:rPr>
        <w:b/>
        <w:color w:val="548DD4"/>
        <w:lang w:val="bg-BG"/>
      </w:rPr>
      <w:t xml:space="preserve">) </w:t>
    </w:r>
    <w:r w:rsidR="00EC6055">
      <w:rPr>
        <w:b/>
        <w:color w:val="548DD4"/>
        <w:lang w:val="bg-BG"/>
      </w:rPr>
      <w:t>№</w:t>
    </w:r>
    <w:r w:rsidRPr="00005EB5">
      <w:rPr>
        <w:b/>
        <w:color w:val="548DD4"/>
        <w:lang w:val="bg-BG"/>
      </w:rPr>
      <w:t xml:space="preserve"> </w:t>
    </w:r>
    <w:r>
      <w:rPr>
        <w:b/>
        <w:color w:val="548DD4"/>
        <w:lang w:val="bg-BG"/>
      </w:rPr>
      <w:t xml:space="preserve">1907/2006 </w:t>
    </w:r>
    <w:r w:rsidRPr="00005EB5">
      <w:rPr>
        <w:b/>
        <w:color w:val="548DD4"/>
        <w:lang w:val="bg-BG"/>
      </w:rPr>
      <w:t>/</w:t>
    </w:r>
    <w:r>
      <w:rPr>
        <w:b/>
        <w:color w:val="548DD4"/>
        <w:lang w:val="bg-BG"/>
      </w:rPr>
      <w:t xml:space="preserve"> </w:t>
    </w:r>
    <w:r>
      <w:rPr>
        <w:b/>
        <w:color w:val="548DD4"/>
        <w:lang w:val="en-US"/>
      </w:rPr>
      <w:t>REACH;</w:t>
    </w:r>
    <w:r>
      <w:t> </w:t>
    </w:r>
  </w:p>
  <w:p w:rsidR="00EC6055" w:rsidRPr="00005EB5" w:rsidRDefault="005004EF" w:rsidP="00EC6055">
    <w:pPr>
      <w:spacing w:line="240" w:lineRule="atLeast"/>
      <w:jc w:val="center"/>
      <w:rPr>
        <w:b/>
        <w:color w:val="548DD4"/>
        <w:lang w:val="bg-BG"/>
      </w:rPr>
    </w:pPr>
    <w:r>
      <w:rPr>
        <w:b/>
        <w:color w:val="548DD4"/>
        <w:lang w:val="bg-BG"/>
      </w:rPr>
      <w:t>Регламент</w:t>
    </w:r>
    <w:r w:rsidRPr="004465BF">
      <w:rPr>
        <w:b/>
        <w:color w:val="548DD4"/>
        <w:lang w:val="ru-RU"/>
      </w:rPr>
      <w:t xml:space="preserve"> (</w:t>
    </w:r>
    <w:r w:rsidRPr="004351B3">
      <w:rPr>
        <w:b/>
        <w:color w:val="548DD4"/>
        <w:lang w:val="en-US"/>
      </w:rPr>
      <w:t>EC</w:t>
    </w:r>
    <w:r w:rsidRPr="004465BF">
      <w:rPr>
        <w:b/>
        <w:color w:val="548DD4"/>
        <w:lang w:val="ru-RU"/>
      </w:rPr>
      <w:t xml:space="preserve">) 1272/2008 </w:t>
    </w:r>
    <w:r>
      <w:rPr>
        <w:b/>
        <w:color w:val="548DD4"/>
        <w:lang w:val="bg-BG"/>
      </w:rPr>
      <w:t xml:space="preserve">и </w:t>
    </w:r>
    <w:r w:rsidR="00EC6055">
      <w:rPr>
        <w:b/>
        <w:color w:val="548DD4"/>
        <w:lang w:val="bg-BG"/>
      </w:rPr>
      <w:t>изменения</w:t>
    </w:r>
  </w:p>
  <w:p w:rsidR="00AB5450" w:rsidRPr="00D3373B" w:rsidRDefault="00AB5450" w:rsidP="005004EF">
    <w:pPr>
      <w:jc w:val="center"/>
      <w:rPr>
        <w:b/>
        <w:bCs/>
        <w:color w:val="548DD4"/>
      </w:rPr>
    </w:pPr>
  </w:p>
  <w:p w:rsidR="00AB5450" w:rsidRPr="00331544" w:rsidRDefault="00AB5450" w:rsidP="00CC7DB8">
    <w:pPr>
      <w:spacing w:line="240" w:lineRule="auto"/>
      <w:jc w:val="center"/>
      <w:rPr>
        <w:b/>
        <w:bCs/>
        <w:color w:val="100999"/>
        <w:sz w:val="18"/>
        <w:szCs w:val="18"/>
      </w:rPr>
    </w:pPr>
  </w:p>
  <w:p w:rsidR="00AB5450" w:rsidRPr="00686844" w:rsidRDefault="00EC6055" w:rsidP="00686844">
    <w:pPr>
      <w:pStyle w:val="Kopzeile-fett"/>
      <w:pBdr>
        <w:top w:val="single" w:sz="4" w:space="1" w:color="auto"/>
        <w:bottom w:val="single" w:sz="4" w:space="1" w:color="auto"/>
      </w:pBdr>
      <w:rPr>
        <w:rFonts w:ascii="Calibri" w:hAnsi="Calibri" w:cs="Calibri"/>
        <w:color w:val="548DD4"/>
        <w:sz w:val="18"/>
        <w:szCs w:val="18"/>
      </w:rPr>
    </w:pPr>
    <w:r>
      <w:rPr>
        <w:rFonts w:ascii="Calibri" w:hAnsi="Calibri" w:cs="Calibri"/>
        <w:color w:val="548DD4"/>
        <w:sz w:val="18"/>
        <w:szCs w:val="18"/>
      </w:rPr>
      <w:t>Версия  5</w:t>
    </w:r>
    <w:r w:rsidR="00AB5450" w:rsidRPr="00686844">
      <w:rPr>
        <w:rFonts w:ascii="Calibri" w:hAnsi="Calibri" w:cs="Calibri"/>
        <w:color w:val="548DD4"/>
        <w:sz w:val="18"/>
        <w:szCs w:val="18"/>
      </w:rPr>
      <w:t>.0/BG</w:t>
    </w:r>
  </w:p>
  <w:p w:rsidR="00AB5450" w:rsidRPr="006F16CF" w:rsidRDefault="00AB5450" w:rsidP="00686844">
    <w:pPr>
      <w:pStyle w:val="Kopzeile-fett"/>
      <w:pBdr>
        <w:top w:val="single" w:sz="4" w:space="1" w:color="auto"/>
        <w:bottom w:val="single" w:sz="4" w:space="1" w:color="auto"/>
      </w:pBdr>
      <w:rPr>
        <w:rFonts w:ascii="Arial" w:hAnsi="Arial" w:cs="Arial"/>
        <w:color w:val="548DD4"/>
        <w:sz w:val="18"/>
        <w:szCs w:val="18"/>
        <w:lang w:val="bg-BG"/>
      </w:rPr>
    </w:pPr>
    <w:r w:rsidRPr="00686844">
      <w:rPr>
        <w:rFonts w:ascii="Calibri" w:hAnsi="Calibri" w:cs="Calibri"/>
        <w:color w:val="548DD4"/>
        <w:sz w:val="18"/>
        <w:szCs w:val="18"/>
      </w:rPr>
      <w:t xml:space="preserve">Дата на последна редакция: </w:t>
    </w:r>
    <w:r w:rsidR="00EC6055">
      <w:rPr>
        <w:rFonts w:ascii="Calibri" w:hAnsi="Calibri" w:cs="Calibri"/>
        <w:color w:val="548DD4"/>
        <w:sz w:val="18"/>
        <w:szCs w:val="18"/>
      </w:rPr>
      <w:t>Септември / 2017</w:t>
    </w:r>
    <w:r w:rsidRPr="00686844">
      <w:rPr>
        <w:rFonts w:ascii="Calibri" w:hAnsi="Calibri" w:cs="Calibri"/>
        <w:color w:val="548DD4"/>
        <w:sz w:val="18"/>
        <w:szCs w:val="18"/>
      </w:rPr>
      <w:tab/>
      <w:t xml:space="preserve">                           </w:t>
    </w:r>
    <w:r w:rsidR="00EC6055">
      <w:rPr>
        <w:rFonts w:ascii="Calibri" w:hAnsi="Calibri" w:cs="Calibri"/>
        <w:color w:val="548DD4"/>
        <w:sz w:val="18"/>
        <w:szCs w:val="18"/>
      </w:rPr>
      <w:t xml:space="preserve">      </w:t>
    </w:r>
    <w:r w:rsidR="005004EF">
      <w:rPr>
        <w:rFonts w:ascii="Calibri" w:hAnsi="Calibri" w:cs="Calibri"/>
        <w:color w:val="548DD4"/>
        <w:sz w:val="18"/>
        <w:szCs w:val="18"/>
      </w:rPr>
      <w:t xml:space="preserve">              </w:t>
    </w:r>
    <w:r w:rsidRPr="00686844">
      <w:rPr>
        <w:rFonts w:ascii="Calibri" w:hAnsi="Calibri" w:cs="Calibri"/>
        <w:color w:val="548DD4"/>
        <w:sz w:val="18"/>
        <w:szCs w:val="18"/>
      </w:rPr>
      <w:t xml:space="preserve">                 </w:t>
    </w:r>
    <w:r w:rsidR="005004EF">
      <w:rPr>
        <w:rFonts w:ascii="Calibri" w:hAnsi="Calibri"/>
        <w:color w:val="548DD4"/>
        <w:sz w:val="18"/>
        <w:szCs w:val="18"/>
        <w:lang w:val="bg-BG" w:eastAsia="en-US"/>
      </w:rPr>
      <w:t>Дата на отпечатване</w:t>
    </w:r>
    <w:r w:rsidR="005004EF" w:rsidRPr="004465BF">
      <w:rPr>
        <w:rFonts w:ascii="Calibri" w:hAnsi="Calibri"/>
        <w:color w:val="548DD4"/>
        <w:sz w:val="18"/>
        <w:szCs w:val="18"/>
        <w:lang w:val="ru-RU" w:eastAsia="en-US"/>
      </w:rPr>
      <w:t xml:space="preserve">: </w:t>
    </w:r>
    <w:r w:rsidR="005004EF">
      <w:rPr>
        <w:rFonts w:ascii="Calibri" w:hAnsi="Calibri"/>
        <w:color w:val="548DD4"/>
        <w:sz w:val="18"/>
        <w:szCs w:val="18"/>
        <w:lang w:val="en-US" w:eastAsia="en-US"/>
      </w:rPr>
      <w:fldChar w:fldCharType="begin"/>
    </w:r>
    <w:r w:rsidR="005004EF">
      <w:rPr>
        <w:rFonts w:ascii="Calibri" w:hAnsi="Calibri"/>
        <w:color w:val="548DD4"/>
        <w:sz w:val="18"/>
        <w:szCs w:val="18"/>
        <w:lang w:val="en-US" w:eastAsia="en-US"/>
      </w:rPr>
      <w:instrText xml:space="preserve"> DATE  \@ "MMMM d, yyyy"  \* MERGEFORMAT </w:instrText>
    </w:r>
    <w:r w:rsidR="005004EF">
      <w:rPr>
        <w:rFonts w:ascii="Calibri" w:hAnsi="Calibri"/>
        <w:color w:val="548DD4"/>
        <w:sz w:val="18"/>
        <w:szCs w:val="18"/>
        <w:lang w:val="en-US" w:eastAsia="en-US"/>
      </w:rPr>
      <w:fldChar w:fldCharType="separate"/>
    </w:r>
    <w:r w:rsidR="00EC6055">
      <w:rPr>
        <w:rFonts w:ascii="Calibri" w:hAnsi="Calibri"/>
        <w:noProof/>
        <w:color w:val="548DD4"/>
        <w:sz w:val="18"/>
        <w:szCs w:val="18"/>
        <w:lang w:val="en-US" w:eastAsia="en-US"/>
      </w:rPr>
      <w:t>April 26, 2018</w:t>
    </w:r>
    <w:r w:rsidR="005004EF">
      <w:rPr>
        <w:rFonts w:ascii="Calibri" w:hAnsi="Calibri"/>
        <w:color w:val="548DD4"/>
        <w:sz w:val="18"/>
        <w:szCs w:val="18"/>
        <w:lang w:val="en-US" w:eastAsia="en-US"/>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0" w:rsidRPr="00CC7DB8" w:rsidRDefault="00AB5450" w:rsidP="000B77AF">
    <w:pPr>
      <w:ind w:left="1560" w:firstLine="425"/>
      <w:rPr>
        <w:b/>
        <w:bCs/>
        <w:color w:val="548DD4"/>
      </w:rPr>
    </w:pPr>
    <w:bookmarkStart w:id="21" w:name="_GoBack"/>
    <w:bookmarkEnd w:id="21"/>
    <w:r>
      <w:rPr>
        <w:noProof/>
        <w:lang w:val="bg-BG" w:eastAsia="bg-BG"/>
      </w:rPr>
      <w:drawing>
        <wp:anchor distT="0" distB="0" distL="114300" distR="114300" simplePos="0" relativeHeight="251680768" behindDoc="0" locked="1" layoutInCell="1" allowOverlap="1">
          <wp:simplePos x="0" y="0"/>
          <wp:positionH relativeFrom="column">
            <wp:posOffset>29210</wp:posOffset>
          </wp:positionH>
          <wp:positionV relativeFrom="paragraph">
            <wp:posOffset>-78105</wp:posOffset>
          </wp:positionV>
          <wp:extent cx="828675" cy="755650"/>
          <wp:effectExtent l="0" t="0" r="9525" b="6350"/>
          <wp:wrapSquare wrapText="right"/>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55650"/>
                  </a:xfrm>
                  <a:prstGeom prst="rect">
                    <a:avLst/>
                  </a:prstGeom>
                  <a:noFill/>
                </pic:spPr>
              </pic:pic>
            </a:graphicData>
          </a:graphic>
          <wp14:sizeRelH relativeFrom="page">
            <wp14:pctWidth>0</wp14:pctWidth>
          </wp14:sizeRelH>
          <wp14:sizeRelV relativeFrom="page">
            <wp14:pctHeight>0</wp14:pctHeight>
          </wp14:sizeRelV>
        </wp:anchor>
      </w:drawing>
    </w:r>
    <w:r w:rsidRPr="00D3373B">
      <w:rPr>
        <w:b/>
        <w:bCs/>
        <w:color w:val="548DD4"/>
      </w:rPr>
      <w:t xml:space="preserve">ИНФОРМАЦИОНЕН ЛИСТ ЗА БЕЗОПАСНОСТ НА ПРОДУКТА </w:t>
    </w:r>
    <w:r w:rsidRPr="0070774F">
      <w:rPr>
        <w:b/>
        <w:bCs/>
        <w:color w:val="548DD4"/>
      </w:rPr>
      <w:t>за CaO</w:t>
    </w:r>
    <w:r>
      <w:rPr>
        <w:b/>
        <w:bCs/>
        <w:color w:val="548DD4"/>
      </w:rPr>
      <w:t xml:space="preserve">, </w:t>
    </w:r>
  </w:p>
  <w:p w:rsidR="003543D9" w:rsidRDefault="003543D9" w:rsidP="003543D9">
    <w:pPr>
      <w:spacing w:line="240" w:lineRule="atLeast"/>
      <w:jc w:val="center"/>
    </w:pPr>
    <w:r>
      <w:rPr>
        <w:b/>
        <w:color w:val="548DD4"/>
        <w:lang w:val="bg-BG"/>
      </w:rPr>
      <w:t xml:space="preserve">Изготвен в съответствие с </w:t>
    </w:r>
    <w:r w:rsidRPr="00005EB5">
      <w:rPr>
        <w:b/>
        <w:color w:val="548DD4"/>
        <w:lang w:val="bg-BG"/>
      </w:rPr>
      <w:t>Регламент</w:t>
    </w:r>
    <w:r w:rsidR="00EC6055">
      <w:rPr>
        <w:b/>
        <w:color w:val="548DD4"/>
        <w:lang w:val="bg-BG"/>
      </w:rPr>
      <w:t xml:space="preserve"> (EС</w:t>
    </w:r>
    <w:r w:rsidRPr="00005EB5">
      <w:rPr>
        <w:b/>
        <w:color w:val="548DD4"/>
        <w:lang w:val="bg-BG"/>
      </w:rPr>
      <w:t xml:space="preserve">) </w:t>
    </w:r>
    <w:r w:rsidR="00EC6055">
      <w:rPr>
        <w:b/>
        <w:color w:val="548DD4"/>
        <w:lang w:val="bg-BG"/>
      </w:rPr>
      <w:t>№</w:t>
    </w:r>
    <w:r w:rsidRPr="00005EB5">
      <w:rPr>
        <w:b/>
        <w:color w:val="548DD4"/>
        <w:lang w:val="bg-BG"/>
      </w:rPr>
      <w:t xml:space="preserve"> </w:t>
    </w:r>
    <w:r>
      <w:rPr>
        <w:b/>
        <w:color w:val="548DD4"/>
        <w:lang w:val="bg-BG"/>
      </w:rPr>
      <w:t xml:space="preserve">1907/2006 </w:t>
    </w:r>
    <w:r w:rsidRPr="00005EB5">
      <w:rPr>
        <w:b/>
        <w:color w:val="548DD4"/>
        <w:lang w:val="bg-BG"/>
      </w:rPr>
      <w:t>/</w:t>
    </w:r>
    <w:r>
      <w:rPr>
        <w:b/>
        <w:color w:val="548DD4"/>
        <w:lang w:val="bg-BG"/>
      </w:rPr>
      <w:t xml:space="preserve"> </w:t>
    </w:r>
    <w:r>
      <w:rPr>
        <w:b/>
        <w:color w:val="548DD4"/>
        <w:lang w:val="en-US"/>
      </w:rPr>
      <w:t>REACH;</w:t>
    </w:r>
    <w:r>
      <w:t> </w:t>
    </w:r>
  </w:p>
  <w:p w:rsidR="00EC6055" w:rsidRPr="00005EB5" w:rsidRDefault="003543D9" w:rsidP="00EC6055">
    <w:pPr>
      <w:spacing w:line="240" w:lineRule="atLeast"/>
      <w:jc w:val="center"/>
      <w:rPr>
        <w:b/>
        <w:color w:val="548DD4"/>
        <w:lang w:val="bg-BG"/>
      </w:rPr>
    </w:pPr>
    <w:r>
      <w:rPr>
        <w:b/>
        <w:color w:val="548DD4"/>
        <w:lang w:val="bg-BG"/>
      </w:rPr>
      <w:t>Регламент</w:t>
    </w:r>
    <w:r w:rsidRPr="004465BF">
      <w:rPr>
        <w:b/>
        <w:color w:val="548DD4"/>
        <w:lang w:val="ru-RU"/>
      </w:rPr>
      <w:t xml:space="preserve"> (</w:t>
    </w:r>
    <w:r w:rsidRPr="004351B3">
      <w:rPr>
        <w:b/>
        <w:color w:val="548DD4"/>
        <w:lang w:val="en-US"/>
      </w:rPr>
      <w:t>EC</w:t>
    </w:r>
    <w:r w:rsidRPr="004465BF">
      <w:rPr>
        <w:b/>
        <w:color w:val="548DD4"/>
        <w:lang w:val="ru-RU"/>
      </w:rPr>
      <w:t xml:space="preserve">) 1272/2008 </w:t>
    </w:r>
    <w:r>
      <w:rPr>
        <w:b/>
        <w:color w:val="548DD4"/>
        <w:lang w:val="bg-BG"/>
      </w:rPr>
      <w:t xml:space="preserve">и </w:t>
    </w:r>
    <w:r w:rsidR="00EC6055">
      <w:rPr>
        <w:b/>
        <w:color w:val="548DD4"/>
        <w:lang w:val="bg-BG"/>
      </w:rPr>
      <w:t>изменения</w:t>
    </w:r>
  </w:p>
  <w:p w:rsidR="00AB5450" w:rsidRPr="00D3373B" w:rsidRDefault="00AB5450" w:rsidP="003543D9">
    <w:pPr>
      <w:jc w:val="center"/>
      <w:rPr>
        <w:b/>
        <w:bCs/>
        <w:color w:val="548DD4"/>
      </w:rPr>
    </w:pPr>
  </w:p>
  <w:p w:rsidR="00AB5450" w:rsidRPr="00331544" w:rsidRDefault="00AB5450" w:rsidP="00CC7DB8">
    <w:pPr>
      <w:spacing w:line="240" w:lineRule="auto"/>
      <w:jc w:val="center"/>
      <w:rPr>
        <w:b/>
        <w:bCs/>
        <w:color w:val="100999"/>
        <w:sz w:val="18"/>
        <w:szCs w:val="18"/>
      </w:rPr>
    </w:pPr>
  </w:p>
  <w:p w:rsidR="00AB5450" w:rsidRPr="00686844" w:rsidRDefault="00EC6055" w:rsidP="00686844">
    <w:pPr>
      <w:pStyle w:val="Kopzeile-fett"/>
      <w:pBdr>
        <w:top w:val="single" w:sz="4" w:space="1" w:color="auto"/>
        <w:bottom w:val="single" w:sz="4" w:space="1" w:color="auto"/>
      </w:pBdr>
      <w:rPr>
        <w:rFonts w:ascii="Calibri" w:hAnsi="Calibri" w:cs="Calibri"/>
        <w:color w:val="548DD4"/>
        <w:sz w:val="18"/>
        <w:szCs w:val="18"/>
      </w:rPr>
    </w:pPr>
    <w:r>
      <w:rPr>
        <w:rFonts w:ascii="Calibri" w:hAnsi="Calibri" w:cs="Calibri"/>
        <w:color w:val="548DD4"/>
        <w:sz w:val="18"/>
        <w:szCs w:val="18"/>
      </w:rPr>
      <w:t>Версия  5</w:t>
    </w:r>
    <w:r w:rsidR="00AB5450" w:rsidRPr="00686844">
      <w:rPr>
        <w:rFonts w:ascii="Calibri" w:hAnsi="Calibri" w:cs="Calibri"/>
        <w:color w:val="548DD4"/>
        <w:sz w:val="18"/>
        <w:szCs w:val="18"/>
      </w:rPr>
      <w:t>.0/BG</w:t>
    </w:r>
  </w:p>
  <w:p w:rsidR="00AB5450" w:rsidRPr="00CB369D" w:rsidRDefault="00AB5450" w:rsidP="00686844">
    <w:pPr>
      <w:pStyle w:val="Kopzeile-fett"/>
      <w:pBdr>
        <w:top w:val="single" w:sz="4" w:space="1" w:color="auto"/>
        <w:bottom w:val="single" w:sz="4" w:space="1" w:color="auto"/>
      </w:pBdr>
      <w:rPr>
        <w:rFonts w:ascii="Arial" w:hAnsi="Arial" w:cs="Arial"/>
        <w:color w:val="548DD4"/>
        <w:sz w:val="18"/>
        <w:szCs w:val="18"/>
        <w:lang w:val="bg-BG"/>
      </w:rPr>
    </w:pPr>
    <w:r w:rsidRPr="00686844">
      <w:rPr>
        <w:rFonts w:ascii="Calibri" w:hAnsi="Calibri" w:cs="Calibri"/>
        <w:color w:val="548DD4"/>
        <w:sz w:val="18"/>
        <w:szCs w:val="18"/>
      </w:rPr>
      <w:t xml:space="preserve">Дата на последна редакция: </w:t>
    </w:r>
    <w:r w:rsidR="00EC6055">
      <w:rPr>
        <w:rFonts w:ascii="Calibri" w:hAnsi="Calibri" w:cs="Calibri"/>
        <w:color w:val="548DD4"/>
        <w:sz w:val="18"/>
        <w:szCs w:val="18"/>
      </w:rPr>
      <w:t>Септември / 2017</w:t>
    </w:r>
    <w:r w:rsidRPr="00686844">
      <w:rPr>
        <w:rFonts w:ascii="Calibri" w:hAnsi="Calibri" w:cs="Calibri"/>
        <w:color w:val="548DD4"/>
        <w:sz w:val="18"/>
        <w:szCs w:val="18"/>
      </w:rPr>
      <w:tab/>
      <w:t xml:space="preserve">                              </w:t>
    </w:r>
    <w:r w:rsidR="00EC6055">
      <w:rPr>
        <w:rFonts w:ascii="Calibri" w:hAnsi="Calibri" w:cs="Calibri"/>
        <w:color w:val="548DD4"/>
        <w:sz w:val="18"/>
        <w:szCs w:val="18"/>
      </w:rPr>
      <w:t xml:space="preserve">               </w:t>
    </w:r>
    <w:r w:rsidR="003543D9">
      <w:rPr>
        <w:rFonts w:ascii="Calibri" w:hAnsi="Calibri" w:cs="Calibri"/>
        <w:color w:val="548DD4"/>
        <w:sz w:val="18"/>
        <w:szCs w:val="18"/>
      </w:rPr>
      <w:t xml:space="preserve">   </w:t>
    </w:r>
    <w:r w:rsidRPr="00686844">
      <w:rPr>
        <w:rFonts w:ascii="Calibri" w:hAnsi="Calibri" w:cs="Calibri"/>
        <w:color w:val="548DD4"/>
        <w:sz w:val="18"/>
        <w:szCs w:val="18"/>
      </w:rPr>
      <w:t xml:space="preserve">              </w:t>
    </w:r>
    <w:r w:rsidR="003543D9">
      <w:rPr>
        <w:rFonts w:ascii="Calibri" w:hAnsi="Calibri"/>
        <w:color w:val="548DD4"/>
        <w:sz w:val="18"/>
        <w:szCs w:val="18"/>
        <w:lang w:val="bg-BG" w:eastAsia="en-US"/>
      </w:rPr>
      <w:t>Дата на отпечатване</w:t>
    </w:r>
    <w:r w:rsidR="003543D9" w:rsidRPr="004465BF">
      <w:rPr>
        <w:rFonts w:ascii="Calibri" w:hAnsi="Calibri"/>
        <w:color w:val="548DD4"/>
        <w:sz w:val="18"/>
        <w:szCs w:val="18"/>
        <w:lang w:val="ru-RU" w:eastAsia="en-US"/>
      </w:rPr>
      <w:t xml:space="preserve">: </w:t>
    </w:r>
    <w:r w:rsidR="003543D9">
      <w:rPr>
        <w:rFonts w:ascii="Calibri" w:hAnsi="Calibri"/>
        <w:color w:val="548DD4"/>
        <w:sz w:val="18"/>
        <w:szCs w:val="18"/>
        <w:lang w:val="en-US" w:eastAsia="en-US"/>
      </w:rPr>
      <w:fldChar w:fldCharType="begin"/>
    </w:r>
    <w:r w:rsidR="003543D9">
      <w:rPr>
        <w:rFonts w:ascii="Calibri" w:hAnsi="Calibri"/>
        <w:color w:val="548DD4"/>
        <w:sz w:val="18"/>
        <w:szCs w:val="18"/>
        <w:lang w:val="en-US" w:eastAsia="en-US"/>
      </w:rPr>
      <w:instrText xml:space="preserve"> DATE  \@ "MMMM d, yyyy"  \* MERGEFORMAT </w:instrText>
    </w:r>
    <w:r w:rsidR="003543D9">
      <w:rPr>
        <w:rFonts w:ascii="Calibri" w:hAnsi="Calibri"/>
        <w:color w:val="548DD4"/>
        <w:sz w:val="18"/>
        <w:szCs w:val="18"/>
        <w:lang w:val="en-US" w:eastAsia="en-US"/>
      </w:rPr>
      <w:fldChar w:fldCharType="separate"/>
    </w:r>
    <w:r w:rsidR="00EC6055">
      <w:rPr>
        <w:rFonts w:ascii="Calibri" w:hAnsi="Calibri"/>
        <w:noProof/>
        <w:color w:val="548DD4"/>
        <w:sz w:val="18"/>
        <w:szCs w:val="18"/>
        <w:lang w:val="en-US" w:eastAsia="en-US"/>
      </w:rPr>
      <w:t>April 26, 2018</w:t>
    </w:r>
    <w:r w:rsidR="003543D9">
      <w:rPr>
        <w:rFonts w:ascii="Calibri" w:hAnsi="Calibri"/>
        <w:color w:val="548DD4"/>
        <w:sz w:val="18"/>
        <w:szCs w:val="18"/>
        <w:lang w:val="en-US"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C12BC"/>
    <w:multiLevelType w:val="hybridMultilevel"/>
    <w:tmpl w:val="9A42720E"/>
    <w:lvl w:ilvl="0" w:tplc="04090001">
      <w:start w:val="1"/>
      <w:numFmt w:val="bullet"/>
      <w:lvlText w:val=""/>
      <w:lvlJc w:val="left"/>
      <w:pPr>
        <w:ind w:left="720" w:hanging="360"/>
      </w:pPr>
      <w:rPr>
        <w:rFonts w:ascii="Symbol" w:hAnsi="Symbol" w:cs="Symbol" w:hint="default"/>
      </w:rPr>
    </w:lvl>
    <w:lvl w:ilvl="1" w:tplc="0407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35C86E5D"/>
    <w:multiLevelType w:val="hybridMultilevel"/>
    <w:tmpl w:val="4D5074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CD74736"/>
    <w:multiLevelType w:val="multilevel"/>
    <w:tmpl w:val="5D644C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622F7A9C"/>
    <w:multiLevelType w:val="hybridMultilevel"/>
    <w:tmpl w:val="11E85EB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15:restartNumberingAfterBreak="0">
    <w:nsid w:val="6F724563"/>
    <w:multiLevelType w:val="multilevel"/>
    <w:tmpl w:val="6FB63378"/>
    <w:lvl w:ilvl="0">
      <w:start w:val="1"/>
      <w:numFmt w:val="decimal"/>
      <w:pStyle w:val="1"/>
      <w:lvlText w:val="%1."/>
      <w:lvlJc w:val="left"/>
      <w:pPr>
        <w:ind w:left="360" w:hanging="360"/>
      </w:pPr>
      <w:rPr>
        <w:rFonts w:hint="default"/>
        <w:color w:val="524AF4"/>
      </w:rPr>
    </w:lvl>
    <w:lvl w:ilvl="1">
      <w:start w:val="1"/>
      <w:numFmt w:val="decimal"/>
      <w:pStyle w:val="2"/>
      <w:isLgl/>
      <w:suff w:val="space"/>
      <w:lvlText w:val="%1.%2."/>
      <w:lvlJc w:val="left"/>
      <w:pPr>
        <w:ind w:left="360" w:hanging="303"/>
      </w:pPr>
      <w:rPr>
        <w:rFonts w:ascii="Calibri" w:hAnsi="Calibri" w:cs="Calibri" w:hint="default"/>
        <w:color w:val="524AF4"/>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4"/>
    <w:lvlOverride w:ilvl="0">
      <w:lvl w:ilvl="0">
        <w:start w:val="1"/>
        <w:numFmt w:val="decimal"/>
        <w:pStyle w:val="1"/>
        <w:lvlText w:val="%1."/>
        <w:lvlJc w:val="left"/>
        <w:pPr>
          <w:ind w:left="357" w:hanging="357"/>
        </w:pPr>
        <w:rPr>
          <w:rFonts w:hint="default"/>
          <w:color w:val="524AF4"/>
        </w:rPr>
      </w:lvl>
    </w:lvlOverride>
    <w:lvlOverride w:ilvl="1">
      <w:lvl w:ilvl="1">
        <w:start w:val="1"/>
        <w:numFmt w:val="decimal"/>
        <w:pStyle w:val="2"/>
        <w:isLgl/>
        <w:lvlText w:val="%1.%2."/>
        <w:lvlJc w:val="left"/>
        <w:pPr>
          <w:ind w:left="567" w:hanging="567"/>
        </w:pPr>
        <w:rPr>
          <w:rFonts w:ascii="Calibri" w:hAnsi="Calibri" w:cs="Calibri" w:hint="default"/>
          <w:color w:val="524AF4"/>
          <w:sz w:val="22"/>
          <w:szCs w:val="22"/>
        </w:rPr>
      </w:lvl>
    </w:lvlOverride>
    <w:lvlOverride w:ilvl="2">
      <w:lvl w:ilvl="2">
        <w:start w:val="1"/>
        <w:numFmt w:val="decimal"/>
        <w:isLgl/>
        <w:lvlText w:val="%1.%2.%3."/>
        <w:lvlJc w:val="left"/>
        <w:pPr>
          <w:ind w:left="357" w:hanging="357"/>
        </w:pPr>
        <w:rPr>
          <w:rFonts w:hint="default"/>
        </w:rPr>
      </w:lvl>
    </w:lvlOverride>
    <w:lvlOverride w:ilvl="3">
      <w:lvl w:ilvl="3">
        <w:start w:val="1"/>
        <w:numFmt w:val="decimal"/>
        <w:isLgl/>
        <w:lvlText w:val="%1.%2.%3.%4."/>
        <w:lvlJc w:val="left"/>
        <w:pPr>
          <w:ind w:left="357" w:hanging="357"/>
        </w:pPr>
        <w:rPr>
          <w:rFonts w:hint="default"/>
        </w:rPr>
      </w:lvl>
    </w:lvlOverride>
    <w:lvlOverride w:ilvl="4">
      <w:lvl w:ilvl="4">
        <w:start w:val="1"/>
        <w:numFmt w:val="decimal"/>
        <w:isLgl/>
        <w:lvlText w:val="%1.%2.%3.%4.%5."/>
        <w:lvlJc w:val="left"/>
        <w:pPr>
          <w:ind w:left="357" w:hanging="357"/>
        </w:pPr>
        <w:rPr>
          <w:rFonts w:hint="default"/>
        </w:rPr>
      </w:lvl>
    </w:lvlOverride>
    <w:lvlOverride w:ilvl="5">
      <w:lvl w:ilvl="5">
        <w:start w:val="1"/>
        <w:numFmt w:val="decimal"/>
        <w:isLgl/>
        <w:lvlText w:val="%1.%2.%3.%4.%5.%6."/>
        <w:lvlJc w:val="left"/>
        <w:pPr>
          <w:ind w:left="357" w:hanging="357"/>
        </w:pPr>
        <w:rPr>
          <w:rFonts w:hint="default"/>
        </w:rPr>
      </w:lvl>
    </w:lvlOverride>
    <w:lvlOverride w:ilvl="6">
      <w:lvl w:ilvl="6">
        <w:start w:val="1"/>
        <w:numFmt w:val="decimal"/>
        <w:isLgl/>
        <w:lvlText w:val="%1.%2.%3.%4.%5.%6.%7."/>
        <w:lvlJc w:val="left"/>
        <w:pPr>
          <w:ind w:left="357" w:hanging="357"/>
        </w:pPr>
        <w:rPr>
          <w:rFonts w:hint="default"/>
        </w:rPr>
      </w:lvl>
    </w:lvlOverride>
    <w:lvlOverride w:ilvl="7">
      <w:lvl w:ilvl="7">
        <w:start w:val="1"/>
        <w:numFmt w:val="decimal"/>
        <w:isLgl/>
        <w:lvlText w:val="%1.%2.%3.%4.%5.%6.%7.%8."/>
        <w:lvlJc w:val="left"/>
        <w:pPr>
          <w:ind w:left="357" w:hanging="357"/>
        </w:pPr>
        <w:rPr>
          <w:rFonts w:hint="default"/>
        </w:rPr>
      </w:lvl>
    </w:lvlOverride>
    <w:lvlOverride w:ilvl="8">
      <w:lvl w:ilvl="8">
        <w:start w:val="1"/>
        <w:numFmt w:val="decimal"/>
        <w:isLgl/>
        <w:lvlText w:val="%1.%2.%3.%4.%5.%6.%7.%8.%9."/>
        <w:lvlJc w:val="left"/>
        <w:pPr>
          <w:ind w:left="357" w:hanging="357"/>
        </w:pPr>
        <w:rPr>
          <w:rFonts w:hint="default"/>
        </w:rPr>
      </w:lvl>
    </w:lvlOverride>
  </w:num>
  <w:num w:numId="3">
    <w:abstractNumId w:val="0"/>
  </w:num>
  <w:num w:numId="4">
    <w:abstractNumId w:val="1"/>
  </w:num>
  <w:num w:numId="5">
    <w:abstractNumId w:val="2"/>
    <w:lvlOverride w:ilvl="0">
      <w:startOverride w:val="3"/>
    </w:lvlOverride>
  </w:num>
  <w:num w:numId="6">
    <w:abstractNumId w:val="2"/>
    <w:lvlOverride w:ilvl="0">
      <w:startOverride w:val="4"/>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GrammaticalError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29"/>
    <w:rsid w:val="00000D74"/>
    <w:rsid w:val="000015F7"/>
    <w:rsid w:val="0000181C"/>
    <w:rsid w:val="0001330A"/>
    <w:rsid w:val="00015CF7"/>
    <w:rsid w:val="000241F3"/>
    <w:rsid w:val="000248F1"/>
    <w:rsid w:val="00026883"/>
    <w:rsid w:val="00027AB8"/>
    <w:rsid w:val="00033842"/>
    <w:rsid w:val="00055F8B"/>
    <w:rsid w:val="0006326A"/>
    <w:rsid w:val="00071580"/>
    <w:rsid w:val="00084F8E"/>
    <w:rsid w:val="00085242"/>
    <w:rsid w:val="00085431"/>
    <w:rsid w:val="00085E37"/>
    <w:rsid w:val="000A0D88"/>
    <w:rsid w:val="000A32B5"/>
    <w:rsid w:val="000B573E"/>
    <w:rsid w:val="000B5CE7"/>
    <w:rsid w:val="000B73FF"/>
    <w:rsid w:val="000B77AF"/>
    <w:rsid w:val="000C5F3A"/>
    <w:rsid w:val="000D4227"/>
    <w:rsid w:val="000D63C0"/>
    <w:rsid w:val="000E00FA"/>
    <w:rsid w:val="000F00A4"/>
    <w:rsid w:val="000F7025"/>
    <w:rsid w:val="000F73D8"/>
    <w:rsid w:val="00100C80"/>
    <w:rsid w:val="0010334F"/>
    <w:rsid w:val="00107DDA"/>
    <w:rsid w:val="001258F6"/>
    <w:rsid w:val="00127023"/>
    <w:rsid w:val="0012767B"/>
    <w:rsid w:val="001450BE"/>
    <w:rsid w:val="00145C77"/>
    <w:rsid w:val="0014626D"/>
    <w:rsid w:val="0015065F"/>
    <w:rsid w:val="0015640D"/>
    <w:rsid w:val="00167177"/>
    <w:rsid w:val="00173563"/>
    <w:rsid w:val="00186201"/>
    <w:rsid w:val="001956CF"/>
    <w:rsid w:val="001B0A60"/>
    <w:rsid w:val="001B0F94"/>
    <w:rsid w:val="001B1C82"/>
    <w:rsid w:val="001B4A7A"/>
    <w:rsid w:val="001C2244"/>
    <w:rsid w:val="001D0E29"/>
    <w:rsid w:val="001D5CEE"/>
    <w:rsid w:val="001F4389"/>
    <w:rsid w:val="001F68EB"/>
    <w:rsid w:val="00200FB3"/>
    <w:rsid w:val="002016F8"/>
    <w:rsid w:val="002065A8"/>
    <w:rsid w:val="00213324"/>
    <w:rsid w:val="002172E7"/>
    <w:rsid w:val="00220CA1"/>
    <w:rsid w:val="002278B8"/>
    <w:rsid w:val="00236DA9"/>
    <w:rsid w:val="00243507"/>
    <w:rsid w:val="0025104E"/>
    <w:rsid w:val="002630DF"/>
    <w:rsid w:val="00263D62"/>
    <w:rsid w:val="00270F0D"/>
    <w:rsid w:val="0028467B"/>
    <w:rsid w:val="00285F16"/>
    <w:rsid w:val="0028734E"/>
    <w:rsid w:val="00292E56"/>
    <w:rsid w:val="00296F36"/>
    <w:rsid w:val="002A1C46"/>
    <w:rsid w:val="002B1CB0"/>
    <w:rsid w:val="002C7410"/>
    <w:rsid w:val="002D4A53"/>
    <w:rsid w:val="002E0A74"/>
    <w:rsid w:val="002E106E"/>
    <w:rsid w:val="002E1B73"/>
    <w:rsid w:val="002E283F"/>
    <w:rsid w:val="002E6F41"/>
    <w:rsid w:val="002E7D53"/>
    <w:rsid w:val="0030085D"/>
    <w:rsid w:val="00313770"/>
    <w:rsid w:val="00331544"/>
    <w:rsid w:val="003336B8"/>
    <w:rsid w:val="00334F73"/>
    <w:rsid w:val="003449C9"/>
    <w:rsid w:val="003540A0"/>
    <w:rsid w:val="003543D9"/>
    <w:rsid w:val="00356E93"/>
    <w:rsid w:val="00356EDC"/>
    <w:rsid w:val="00360A16"/>
    <w:rsid w:val="0036277A"/>
    <w:rsid w:val="00363FDA"/>
    <w:rsid w:val="0036439C"/>
    <w:rsid w:val="003645D5"/>
    <w:rsid w:val="00366A36"/>
    <w:rsid w:val="00367D03"/>
    <w:rsid w:val="00373998"/>
    <w:rsid w:val="00376B60"/>
    <w:rsid w:val="003A0A95"/>
    <w:rsid w:val="003A4489"/>
    <w:rsid w:val="003B79EF"/>
    <w:rsid w:val="003E1F27"/>
    <w:rsid w:val="003F243A"/>
    <w:rsid w:val="003F2C8D"/>
    <w:rsid w:val="003F3224"/>
    <w:rsid w:val="004078EB"/>
    <w:rsid w:val="00410B7E"/>
    <w:rsid w:val="004317DB"/>
    <w:rsid w:val="00434E8E"/>
    <w:rsid w:val="00455F9C"/>
    <w:rsid w:val="00456E15"/>
    <w:rsid w:val="0045713D"/>
    <w:rsid w:val="004603B7"/>
    <w:rsid w:val="0046144F"/>
    <w:rsid w:val="00470B20"/>
    <w:rsid w:val="00470EE4"/>
    <w:rsid w:val="00485D42"/>
    <w:rsid w:val="00485D78"/>
    <w:rsid w:val="00485FE5"/>
    <w:rsid w:val="00495CFE"/>
    <w:rsid w:val="004A6BB3"/>
    <w:rsid w:val="004B205A"/>
    <w:rsid w:val="004C5EEC"/>
    <w:rsid w:val="004C7581"/>
    <w:rsid w:val="004E2D71"/>
    <w:rsid w:val="004E728B"/>
    <w:rsid w:val="004F2ED7"/>
    <w:rsid w:val="004F7C25"/>
    <w:rsid w:val="005004EF"/>
    <w:rsid w:val="00503293"/>
    <w:rsid w:val="00506B6F"/>
    <w:rsid w:val="00512AD0"/>
    <w:rsid w:val="00525F49"/>
    <w:rsid w:val="00526109"/>
    <w:rsid w:val="005479D2"/>
    <w:rsid w:val="00547E18"/>
    <w:rsid w:val="00556519"/>
    <w:rsid w:val="00566842"/>
    <w:rsid w:val="005765DC"/>
    <w:rsid w:val="005812E4"/>
    <w:rsid w:val="00591FCC"/>
    <w:rsid w:val="005A23F5"/>
    <w:rsid w:val="005A3622"/>
    <w:rsid w:val="005A44A7"/>
    <w:rsid w:val="005B1A81"/>
    <w:rsid w:val="005B292D"/>
    <w:rsid w:val="005B58C1"/>
    <w:rsid w:val="005B61B0"/>
    <w:rsid w:val="005C257F"/>
    <w:rsid w:val="005C2B76"/>
    <w:rsid w:val="005C4C8B"/>
    <w:rsid w:val="005E5393"/>
    <w:rsid w:val="00612104"/>
    <w:rsid w:val="00615415"/>
    <w:rsid w:val="00624B2B"/>
    <w:rsid w:val="00625D49"/>
    <w:rsid w:val="006276B1"/>
    <w:rsid w:val="006305BE"/>
    <w:rsid w:val="00631460"/>
    <w:rsid w:val="006331EE"/>
    <w:rsid w:val="00642116"/>
    <w:rsid w:val="00643624"/>
    <w:rsid w:val="006464C3"/>
    <w:rsid w:val="00647EF2"/>
    <w:rsid w:val="00652D8A"/>
    <w:rsid w:val="00656725"/>
    <w:rsid w:val="00665AD8"/>
    <w:rsid w:val="00676B60"/>
    <w:rsid w:val="00683C2F"/>
    <w:rsid w:val="006841EE"/>
    <w:rsid w:val="00685BFA"/>
    <w:rsid w:val="0068612E"/>
    <w:rsid w:val="00686844"/>
    <w:rsid w:val="00686EC0"/>
    <w:rsid w:val="006A0CE4"/>
    <w:rsid w:val="006A1908"/>
    <w:rsid w:val="006A6F9F"/>
    <w:rsid w:val="006A73D9"/>
    <w:rsid w:val="006B050F"/>
    <w:rsid w:val="006B23EB"/>
    <w:rsid w:val="006B3DEB"/>
    <w:rsid w:val="006C695F"/>
    <w:rsid w:val="006E46AB"/>
    <w:rsid w:val="006E6F65"/>
    <w:rsid w:val="006F16CF"/>
    <w:rsid w:val="006F7911"/>
    <w:rsid w:val="00701753"/>
    <w:rsid w:val="00703017"/>
    <w:rsid w:val="007048E1"/>
    <w:rsid w:val="0070774F"/>
    <w:rsid w:val="00734AE9"/>
    <w:rsid w:val="00740121"/>
    <w:rsid w:val="007445C1"/>
    <w:rsid w:val="00747C73"/>
    <w:rsid w:val="00750900"/>
    <w:rsid w:val="00751247"/>
    <w:rsid w:val="007557FB"/>
    <w:rsid w:val="00764DA5"/>
    <w:rsid w:val="007754D5"/>
    <w:rsid w:val="00776BA5"/>
    <w:rsid w:val="00782532"/>
    <w:rsid w:val="007850F1"/>
    <w:rsid w:val="00786081"/>
    <w:rsid w:val="007950B0"/>
    <w:rsid w:val="007A14F7"/>
    <w:rsid w:val="007A1B4B"/>
    <w:rsid w:val="007A2413"/>
    <w:rsid w:val="007B30C2"/>
    <w:rsid w:val="007C3271"/>
    <w:rsid w:val="007D259C"/>
    <w:rsid w:val="007D44CA"/>
    <w:rsid w:val="007D60BD"/>
    <w:rsid w:val="007E6DF5"/>
    <w:rsid w:val="007F39B5"/>
    <w:rsid w:val="0081110F"/>
    <w:rsid w:val="008111FF"/>
    <w:rsid w:val="00814117"/>
    <w:rsid w:val="00821E32"/>
    <w:rsid w:val="00826148"/>
    <w:rsid w:val="00831B08"/>
    <w:rsid w:val="008348D1"/>
    <w:rsid w:val="00834A18"/>
    <w:rsid w:val="00840FEA"/>
    <w:rsid w:val="0084140D"/>
    <w:rsid w:val="00841927"/>
    <w:rsid w:val="00852FA7"/>
    <w:rsid w:val="0085466D"/>
    <w:rsid w:val="0086422E"/>
    <w:rsid w:val="00865922"/>
    <w:rsid w:val="0086743D"/>
    <w:rsid w:val="00870912"/>
    <w:rsid w:val="0087484B"/>
    <w:rsid w:val="00880106"/>
    <w:rsid w:val="00881785"/>
    <w:rsid w:val="008A7BD4"/>
    <w:rsid w:val="008B03BB"/>
    <w:rsid w:val="008B14A8"/>
    <w:rsid w:val="008B14B8"/>
    <w:rsid w:val="008C32B3"/>
    <w:rsid w:val="008D6C70"/>
    <w:rsid w:val="008D6E9B"/>
    <w:rsid w:val="008E29A6"/>
    <w:rsid w:val="008E43D7"/>
    <w:rsid w:val="008F0F66"/>
    <w:rsid w:val="008F1CF6"/>
    <w:rsid w:val="008F466B"/>
    <w:rsid w:val="008F58B9"/>
    <w:rsid w:val="008F5FA8"/>
    <w:rsid w:val="00905846"/>
    <w:rsid w:val="00911000"/>
    <w:rsid w:val="009122BC"/>
    <w:rsid w:val="009254E1"/>
    <w:rsid w:val="009451BE"/>
    <w:rsid w:val="00947248"/>
    <w:rsid w:val="00953145"/>
    <w:rsid w:val="00960814"/>
    <w:rsid w:val="009A41CA"/>
    <w:rsid w:val="009A5C39"/>
    <w:rsid w:val="009A6450"/>
    <w:rsid w:val="009B1903"/>
    <w:rsid w:val="009B28CC"/>
    <w:rsid w:val="009B2D6D"/>
    <w:rsid w:val="009C4B96"/>
    <w:rsid w:val="009C64DB"/>
    <w:rsid w:val="009C7143"/>
    <w:rsid w:val="009D10F2"/>
    <w:rsid w:val="009D21FC"/>
    <w:rsid w:val="009D4C75"/>
    <w:rsid w:val="00A2007A"/>
    <w:rsid w:val="00A245E0"/>
    <w:rsid w:val="00A25B8C"/>
    <w:rsid w:val="00A27305"/>
    <w:rsid w:val="00A37799"/>
    <w:rsid w:val="00A44AA6"/>
    <w:rsid w:val="00A46F99"/>
    <w:rsid w:val="00A51B9F"/>
    <w:rsid w:val="00A57DC7"/>
    <w:rsid w:val="00A60435"/>
    <w:rsid w:val="00A61D7B"/>
    <w:rsid w:val="00A81765"/>
    <w:rsid w:val="00A84405"/>
    <w:rsid w:val="00A8763B"/>
    <w:rsid w:val="00A9118C"/>
    <w:rsid w:val="00A94A79"/>
    <w:rsid w:val="00AA3B4A"/>
    <w:rsid w:val="00AA4BB4"/>
    <w:rsid w:val="00AB1C1B"/>
    <w:rsid w:val="00AB3C21"/>
    <w:rsid w:val="00AB5450"/>
    <w:rsid w:val="00AC587D"/>
    <w:rsid w:val="00AC656F"/>
    <w:rsid w:val="00AC695F"/>
    <w:rsid w:val="00B02276"/>
    <w:rsid w:val="00B06105"/>
    <w:rsid w:val="00B133BA"/>
    <w:rsid w:val="00B24F3B"/>
    <w:rsid w:val="00B32E8B"/>
    <w:rsid w:val="00B338DD"/>
    <w:rsid w:val="00B370F7"/>
    <w:rsid w:val="00B414BB"/>
    <w:rsid w:val="00B50235"/>
    <w:rsid w:val="00B51CD5"/>
    <w:rsid w:val="00B657A2"/>
    <w:rsid w:val="00B679F1"/>
    <w:rsid w:val="00B705C4"/>
    <w:rsid w:val="00B71C2F"/>
    <w:rsid w:val="00B77F9C"/>
    <w:rsid w:val="00B94FEE"/>
    <w:rsid w:val="00B97EE5"/>
    <w:rsid w:val="00BC1540"/>
    <w:rsid w:val="00BC5EEB"/>
    <w:rsid w:val="00BE0AB7"/>
    <w:rsid w:val="00BE22DD"/>
    <w:rsid w:val="00BF27A0"/>
    <w:rsid w:val="00C102B9"/>
    <w:rsid w:val="00C12293"/>
    <w:rsid w:val="00C20012"/>
    <w:rsid w:val="00C21D6C"/>
    <w:rsid w:val="00C2534C"/>
    <w:rsid w:val="00C31418"/>
    <w:rsid w:val="00C32D9F"/>
    <w:rsid w:val="00C34CF2"/>
    <w:rsid w:val="00C417F3"/>
    <w:rsid w:val="00C52283"/>
    <w:rsid w:val="00C55A05"/>
    <w:rsid w:val="00C66AFE"/>
    <w:rsid w:val="00C7437C"/>
    <w:rsid w:val="00C75D0A"/>
    <w:rsid w:val="00C817D1"/>
    <w:rsid w:val="00C935D2"/>
    <w:rsid w:val="00CA245B"/>
    <w:rsid w:val="00CA38C1"/>
    <w:rsid w:val="00CB369D"/>
    <w:rsid w:val="00CB3A04"/>
    <w:rsid w:val="00CB56D4"/>
    <w:rsid w:val="00CB5E12"/>
    <w:rsid w:val="00CB668E"/>
    <w:rsid w:val="00CC2787"/>
    <w:rsid w:val="00CC7167"/>
    <w:rsid w:val="00CC7B50"/>
    <w:rsid w:val="00CC7DB8"/>
    <w:rsid w:val="00CD06C8"/>
    <w:rsid w:val="00CE2F11"/>
    <w:rsid w:val="00CE3702"/>
    <w:rsid w:val="00CE6C86"/>
    <w:rsid w:val="00CF106F"/>
    <w:rsid w:val="00D14557"/>
    <w:rsid w:val="00D14991"/>
    <w:rsid w:val="00D3338C"/>
    <w:rsid w:val="00D3373B"/>
    <w:rsid w:val="00D364DA"/>
    <w:rsid w:val="00D436D7"/>
    <w:rsid w:val="00D436DA"/>
    <w:rsid w:val="00D43ED5"/>
    <w:rsid w:val="00D4611D"/>
    <w:rsid w:val="00D6160C"/>
    <w:rsid w:val="00D74C47"/>
    <w:rsid w:val="00D765E2"/>
    <w:rsid w:val="00D861AA"/>
    <w:rsid w:val="00D92C6C"/>
    <w:rsid w:val="00D93DC0"/>
    <w:rsid w:val="00D96976"/>
    <w:rsid w:val="00DA58B6"/>
    <w:rsid w:val="00DB4B0A"/>
    <w:rsid w:val="00DC0BBF"/>
    <w:rsid w:val="00DC4CF7"/>
    <w:rsid w:val="00DC750C"/>
    <w:rsid w:val="00DE31E7"/>
    <w:rsid w:val="00DF0F7C"/>
    <w:rsid w:val="00DF31F2"/>
    <w:rsid w:val="00E00732"/>
    <w:rsid w:val="00E03A8E"/>
    <w:rsid w:val="00E11C44"/>
    <w:rsid w:val="00E1589E"/>
    <w:rsid w:val="00E17461"/>
    <w:rsid w:val="00E22107"/>
    <w:rsid w:val="00E466CD"/>
    <w:rsid w:val="00E672FC"/>
    <w:rsid w:val="00E72338"/>
    <w:rsid w:val="00E73CA2"/>
    <w:rsid w:val="00E870A8"/>
    <w:rsid w:val="00E9539F"/>
    <w:rsid w:val="00EA5300"/>
    <w:rsid w:val="00EA5B17"/>
    <w:rsid w:val="00EA7E6F"/>
    <w:rsid w:val="00EB4B98"/>
    <w:rsid w:val="00EC6055"/>
    <w:rsid w:val="00EE3329"/>
    <w:rsid w:val="00EF7B17"/>
    <w:rsid w:val="00F02FBF"/>
    <w:rsid w:val="00F1373D"/>
    <w:rsid w:val="00F16AFC"/>
    <w:rsid w:val="00F242A6"/>
    <w:rsid w:val="00F25BCD"/>
    <w:rsid w:val="00F51F45"/>
    <w:rsid w:val="00F53DE9"/>
    <w:rsid w:val="00F54ACB"/>
    <w:rsid w:val="00F75E16"/>
    <w:rsid w:val="00F765CB"/>
    <w:rsid w:val="00F86E80"/>
    <w:rsid w:val="00F97F3E"/>
    <w:rsid w:val="00FA1234"/>
    <w:rsid w:val="00FB0048"/>
    <w:rsid w:val="00FB1BBD"/>
    <w:rsid w:val="00FB2DE0"/>
    <w:rsid w:val="00FD31F1"/>
    <w:rsid w:val="00FF1CAC"/>
    <w:rsid w:val="00FF68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BD4"/>
    <w:pPr>
      <w:spacing w:line="276" w:lineRule="auto"/>
    </w:pPr>
    <w:rPr>
      <w:rFonts w:cs="Calibri"/>
      <w:lang w:val="en-GB" w:eastAsia="en-US"/>
    </w:rPr>
  </w:style>
  <w:style w:type="paragraph" w:styleId="1">
    <w:name w:val="heading 1"/>
    <w:basedOn w:val="a"/>
    <w:next w:val="a"/>
    <w:link w:val="10"/>
    <w:uiPriority w:val="99"/>
    <w:qFormat/>
    <w:rsid w:val="008A7BD4"/>
    <w:pPr>
      <w:keepNext/>
      <w:numPr>
        <w:numId w:val="1"/>
      </w:numPr>
      <w:spacing w:after="240" w:line="240" w:lineRule="auto"/>
      <w:outlineLvl w:val="0"/>
    </w:pPr>
    <w:rPr>
      <w:b/>
      <w:bCs/>
      <w:caps/>
      <w:color w:val="524AF4"/>
    </w:rPr>
  </w:style>
  <w:style w:type="paragraph" w:styleId="2">
    <w:name w:val="heading 2"/>
    <w:basedOn w:val="a"/>
    <w:next w:val="a"/>
    <w:link w:val="20"/>
    <w:uiPriority w:val="99"/>
    <w:qFormat/>
    <w:rsid w:val="00CA245B"/>
    <w:pPr>
      <w:keepNext/>
      <w:numPr>
        <w:ilvl w:val="1"/>
        <w:numId w:val="2"/>
      </w:numPr>
      <w:spacing w:after="120" w:line="240" w:lineRule="auto"/>
      <w:jc w:val="both"/>
      <w:outlineLvl w:val="1"/>
    </w:pPr>
    <w:rPr>
      <w:i/>
      <w:iCs/>
      <w:color w:val="524AF4"/>
    </w:rPr>
  </w:style>
  <w:style w:type="paragraph" w:styleId="3">
    <w:name w:val="heading 3"/>
    <w:basedOn w:val="a"/>
    <w:next w:val="a"/>
    <w:link w:val="30"/>
    <w:uiPriority w:val="99"/>
    <w:qFormat/>
    <w:rsid w:val="00CA245B"/>
    <w:pPr>
      <w:keepNext/>
      <w:tabs>
        <w:tab w:val="left" w:pos="567"/>
      </w:tabs>
      <w:spacing w:before="240" w:after="60" w:line="240" w:lineRule="auto"/>
      <w:outlineLvl w:val="2"/>
    </w:pPr>
    <w:rPr>
      <w:i/>
      <w:iCs/>
      <w:color w:val="524AF4"/>
    </w:rPr>
  </w:style>
  <w:style w:type="paragraph" w:styleId="4">
    <w:name w:val="heading 4"/>
    <w:basedOn w:val="a"/>
    <w:next w:val="a"/>
    <w:link w:val="40"/>
    <w:uiPriority w:val="99"/>
    <w:qFormat/>
    <w:rsid w:val="00334F73"/>
    <w:pPr>
      <w:keepNext/>
      <w:tabs>
        <w:tab w:val="left" w:pos="1418"/>
      </w:tabs>
      <w:spacing w:before="240" w:after="60"/>
      <w:outlineLvl w:val="3"/>
    </w:pPr>
    <w:rPr>
      <w:i/>
      <w:iCs/>
      <w:color w:val="524AF4"/>
    </w:rPr>
  </w:style>
  <w:style w:type="paragraph" w:styleId="5">
    <w:name w:val="heading 5"/>
    <w:basedOn w:val="a"/>
    <w:next w:val="a"/>
    <w:link w:val="50"/>
    <w:uiPriority w:val="99"/>
    <w:qFormat/>
    <w:rsid w:val="009D4C75"/>
    <w:pPr>
      <w:keepNext/>
      <w:tabs>
        <w:tab w:val="left" w:pos="1418"/>
      </w:tabs>
      <w:spacing w:before="240" w:after="60"/>
      <w:ind w:left="1418" w:hanging="1418"/>
      <w:outlineLvl w:val="4"/>
    </w:pPr>
    <w:rPr>
      <w:rFonts w:ascii="Arial" w:eastAsia="Times New Roman" w:hAnsi="Arial" w:cs="Arial"/>
      <w:b/>
      <w:bCs/>
      <w:i/>
      <w:iCs/>
    </w:rPr>
  </w:style>
  <w:style w:type="paragraph" w:styleId="6">
    <w:name w:val="heading 6"/>
    <w:basedOn w:val="a"/>
    <w:next w:val="a"/>
    <w:link w:val="60"/>
    <w:uiPriority w:val="99"/>
    <w:qFormat/>
    <w:rsid w:val="009D4C75"/>
    <w:pPr>
      <w:spacing w:before="240" w:after="60"/>
      <w:ind w:left="1152" w:hanging="1152"/>
      <w:jc w:val="both"/>
      <w:outlineLvl w:val="5"/>
    </w:pPr>
    <w:rPr>
      <w:rFonts w:eastAsia="Times New Roman"/>
      <w:b/>
      <w:bCs/>
    </w:rPr>
  </w:style>
  <w:style w:type="paragraph" w:styleId="7">
    <w:name w:val="heading 7"/>
    <w:basedOn w:val="a"/>
    <w:next w:val="a"/>
    <w:link w:val="70"/>
    <w:uiPriority w:val="99"/>
    <w:qFormat/>
    <w:rsid w:val="009D4C75"/>
    <w:pPr>
      <w:spacing w:before="240" w:after="60"/>
      <w:ind w:left="1296" w:hanging="1296"/>
      <w:jc w:val="both"/>
      <w:outlineLvl w:val="6"/>
    </w:pPr>
    <w:rPr>
      <w:rFonts w:eastAsia="Times New Roman"/>
      <w:sz w:val="24"/>
      <w:szCs w:val="24"/>
    </w:rPr>
  </w:style>
  <w:style w:type="paragraph" w:styleId="8">
    <w:name w:val="heading 8"/>
    <w:basedOn w:val="a"/>
    <w:next w:val="a"/>
    <w:link w:val="80"/>
    <w:uiPriority w:val="99"/>
    <w:qFormat/>
    <w:rsid w:val="009D4C75"/>
    <w:pPr>
      <w:spacing w:before="240" w:after="60"/>
      <w:ind w:left="1440" w:hanging="1440"/>
      <w:jc w:val="both"/>
      <w:outlineLvl w:val="7"/>
    </w:pPr>
    <w:rPr>
      <w:rFonts w:eastAsia="Times New Roman"/>
      <w:i/>
      <w:iCs/>
      <w:sz w:val="24"/>
      <w:szCs w:val="24"/>
    </w:rPr>
  </w:style>
  <w:style w:type="paragraph" w:styleId="9">
    <w:name w:val="heading 9"/>
    <w:basedOn w:val="a"/>
    <w:next w:val="a"/>
    <w:link w:val="90"/>
    <w:uiPriority w:val="99"/>
    <w:qFormat/>
    <w:rsid w:val="009D4C75"/>
    <w:pPr>
      <w:spacing w:before="240" w:after="60"/>
      <w:ind w:left="1584" w:hanging="1584"/>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8A7BD4"/>
    <w:rPr>
      <w:b/>
      <w:bCs/>
      <w:caps/>
      <w:color w:val="524AF4"/>
      <w:sz w:val="22"/>
      <w:szCs w:val="22"/>
      <w:lang w:val="en-GB"/>
    </w:rPr>
  </w:style>
  <w:style w:type="character" w:customStyle="1" w:styleId="20">
    <w:name w:val="Заглавие 2 Знак"/>
    <w:basedOn w:val="a0"/>
    <w:link w:val="2"/>
    <w:uiPriority w:val="99"/>
    <w:rsid w:val="00CA245B"/>
    <w:rPr>
      <w:i/>
      <w:iCs/>
      <w:color w:val="524AF4"/>
      <w:sz w:val="22"/>
      <w:szCs w:val="22"/>
      <w:lang w:val="en-GB"/>
    </w:rPr>
  </w:style>
  <w:style w:type="character" w:customStyle="1" w:styleId="30">
    <w:name w:val="Заглавие 3 Знак"/>
    <w:basedOn w:val="a0"/>
    <w:link w:val="3"/>
    <w:uiPriority w:val="99"/>
    <w:rsid w:val="00CA245B"/>
    <w:rPr>
      <w:i/>
      <w:iCs/>
      <w:color w:val="524AF4"/>
      <w:sz w:val="22"/>
      <w:szCs w:val="22"/>
      <w:lang w:val="en-US" w:eastAsia="en-US"/>
    </w:rPr>
  </w:style>
  <w:style w:type="character" w:customStyle="1" w:styleId="40">
    <w:name w:val="Заглавие 4 Знак"/>
    <w:basedOn w:val="a0"/>
    <w:link w:val="4"/>
    <w:uiPriority w:val="99"/>
    <w:rsid w:val="00334F73"/>
    <w:rPr>
      <w:i/>
      <w:iCs/>
      <w:color w:val="524AF4"/>
      <w:sz w:val="22"/>
      <w:szCs w:val="22"/>
      <w:lang w:val="en-US" w:eastAsia="en-US"/>
    </w:rPr>
  </w:style>
  <w:style w:type="character" w:customStyle="1" w:styleId="50">
    <w:name w:val="Заглавие 5 Знак"/>
    <w:basedOn w:val="a0"/>
    <w:link w:val="5"/>
    <w:uiPriority w:val="99"/>
    <w:rsid w:val="009D4C75"/>
    <w:rPr>
      <w:rFonts w:ascii="Arial" w:hAnsi="Arial" w:cs="Arial"/>
      <w:b/>
      <w:bCs/>
      <w:i/>
      <w:iCs/>
      <w:sz w:val="26"/>
      <w:szCs w:val="26"/>
      <w:lang w:val="en-GB" w:eastAsia="en-US"/>
    </w:rPr>
  </w:style>
  <w:style w:type="character" w:customStyle="1" w:styleId="60">
    <w:name w:val="Заглавие 6 Знак"/>
    <w:basedOn w:val="a0"/>
    <w:link w:val="6"/>
    <w:uiPriority w:val="99"/>
    <w:rsid w:val="009D4C75"/>
    <w:rPr>
      <w:rFonts w:eastAsia="Times New Roman"/>
      <w:b/>
      <w:bCs/>
      <w:sz w:val="22"/>
      <w:szCs w:val="22"/>
      <w:lang w:val="en-GB" w:eastAsia="en-US"/>
    </w:rPr>
  </w:style>
  <w:style w:type="character" w:customStyle="1" w:styleId="70">
    <w:name w:val="Заглавие 7 Знак"/>
    <w:basedOn w:val="a0"/>
    <w:link w:val="7"/>
    <w:uiPriority w:val="99"/>
    <w:rsid w:val="009D4C75"/>
    <w:rPr>
      <w:rFonts w:eastAsia="Times New Roman"/>
      <w:sz w:val="24"/>
      <w:szCs w:val="24"/>
      <w:lang w:val="en-GB" w:eastAsia="en-US"/>
    </w:rPr>
  </w:style>
  <w:style w:type="character" w:customStyle="1" w:styleId="80">
    <w:name w:val="Заглавие 8 Знак"/>
    <w:basedOn w:val="a0"/>
    <w:link w:val="8"/>
    <w:uiPriority w:val="99"/>
    <w:rsid w:val="009D4C75"/>
    <w:rPr>
      <w:rFonts w:eastAsia="Times New Roman"/>
      <w:i/>
      <w:iCs/>
      <w:sz w:val="24"/>
      <w:szCs w:val="24"/>
      <w:lang w:val="en-GB" w:eastAsia="en-US"/>
    </w:rPr>
  </w:style>
  <w:style w:type="character" w:customStyle="1" w:styleId="90">
    <w:name w:val="Заглавие 9 Знак"/>
    <w:basedOn w:val="a0"/>
    <w:link w:val="9"/>
    <w:uiPriority w:val="99"/>
    <w:rsid w:val="009D4C75"/>
    <w:rPr>
      <w:rFonts w:ascii="Cambria" w:hAnsi="Cambria" w:cs="Cambria"/>
      <w:sz w:val="22"/>
      <w:szCs w:val="22"/>
      <w:lang w:val="en-GB" w:eastAsia="en-US"/>
    </w:rPr>
  </w:style>
  <w:style w:type="paragraph" w:styleId="a3">
    <w:name w:val="header"/>
    <w:basedOn w:val="a"/>
    <w:link w:val="a4"/>
    <w:uiPriority w:val="99"/>
    <w:rsid w:val="001D0E29"/>
    <w:pPr>
      <w:tabs>
        <w:tab w:val="center" w:pos="4536"/>
        <w:tab w:val="right" w:pos="9072"/>
      </w:tabs>
      <w:spacing w:line="240" w:lineRule="auto"/>
    </w:pPr>
  </w:style>
  <w:style w:type="character" w:customStyle="1" w:styleId="a4">
    <w:name w:val="Горен колонтитул Знак"/>
    <w:basedOn w:val="a0"/>
    <w:link w:val="a3"/>
    <w:uiPriority w:val="99"/>
    <w:rsid w:val="001D0E29"/>
    <w:rPr>
      <w:rFonts w:ascii="Calibri" w:hAnsi="Calibri" w:cs="Calibri"/>
      <w:lang w:val="en-US"/>
    </w:rPr>
  </w:style>
  <w:style w:type="paragraph" w:styleId="a5">
    <w:name w:val="footer"/>
    <w:basedOn w:val="a"/>
    <w:link w:val="a6"/>
    <w:uiPriority w:val="99"/>
    <w:rsid w:val="001D0E29"/>
    <w:pPr>
      <w:tabs>
        <w:tab w:val="center" w:pos="4536"/>
        <w:tab w:val="right" w:pos="9072"/>
      </w:tabs>
      <w:spacing w:line="240" w:lineRule="auto"/>
    </w:pPr>
  </w:style>
  <w:style w:type="character" w:customStyle="1" w:styleId="a6">
    <w:name w:val="Долен колонтитул Знак"/>
    <w:basedOn w:val="a0"/>
    <w:link w:val="a5"/>
    <w:uiPriority w:val="99"/>
    <w:rsid w:val="001D0E29"/>
    <w:rPr>
      <w:rFonts w:ascii="Calibri" w:hAnsi="Calibri" w:cs="Calibri"/>
      <w:lang w:val="en-US"/>
    </w:rPr>
  </w:style>
  <w:style w:type="character" w:styleId="a7">
    <w:name w:val="annotation reference"/>
    <w:basedOn w:val="a0"/>
    <w:uiPriority w:val="99"/>
    <w:semiHidden/>
    <w:rsid w:val="001D0E29"/>
    <w:rPr>
      <w:sz w:val="16"/>
      <w:szCs w:val="16"/>
    </w:rPr>
  </w:style>
  <w:style w:type="paragraph" w:styleId="a8">
    <w:name w:val="annotation text"/>
    <w:basedOn w:val="a"/>
    <w:link w:val="a9"/>
    <w:uiPriority w:val="99"/>
    <w:semiHidden/>
    <w:rsid w:val="001D0E29"/>
    <w:pPr>
      <w:spacing w:line="240" w:lineRule="auto"/>
    </w:pPr>
    <w:rPr>
      <w:rFonts w:eastAsia="Times New Roman"/>
      <w:sz w:val="20"/>
      <w:szCs w:val="20"/>
    </w:rPr>
  </w:style>
  <w:style w:type="character" w:customStyle="1" w:styleId="a9">
    <w:name w:val="Текст на коментар Знак"/>
    <w:basedOn w:val="a0"/>
    <w:link w:val="a8"/>
    <w:uiPriority w:val="99"/>
    <w:rsid w:val="001D0E29"/>
    <w:rPr>
      <w:rFonts w:eastAsia="Times New Roman"/>
      <w:sz w:val="20"/>
      <w:szCs w:val="20"/>
      <w:lang w:val="en-US"/>
    </w:rPr>
  </w:style>
  <w:style w:type="paragraph" w:styleId="aa">
    <w:name w:val="Balloon Text"/>
    <w:basedOn w:val="a"/>
    <w:link w:val="ab"/>
    <w:uiPriority w:val="99"/>
    <w:semiHidden/>
    <w:rsid w:val="001D0E29"/>
    <w:pPr>
      <w:spacing w:line="240" w:lineRule="auto"/>
    </w:pPr>
    <w:rPr>
      <w:rFonts w:ascii="Tahoma" w:hAnsi="Tahoma" w:cs="Tahoma"/>
      <w:sz w:val="16"/>
      <w:szCs w:val="16"/>
    </w:rPr>
  </w:style>
  <w:style w:type="character" w:customStyle="1" w:styleId="ab">
    <w:name w:val="Изнесен текст Знак"/>
    <w:basedOn w:val="a0"/>
    <w:link w:val="aa"/>
    <w:uiPriority w:val="99"/>
    <w:semiHidden/>
    <w:rsid w:val="001D0E29"/>
    <w:rPr>
      <w:rFonts w:ascii="Tahoma" w:hAnsi="Tahoma" w:cs="Tahoma"/>
      <w:sz w:val="16"/>
      <w:szCs w:val="16"/>
      <w:lang w:val="en-US"/>
    </w:rPr>
  </w:style>
  <w:style w:type="paragraph" w:customStyle="1" w:styleId="CM4">
    <w:name w:val="CM4"/>
    <w:basedOn w:val="a"/>
    <w:next w:val="a"/>
    <w:uiPriority w:val="99"/>
    <w:rsid w:val="00547E18"/>
    <w:pPr>
      <w:autoSpaceDE w:val="0"/>
      <w:autoSpaceDN w:val="0"/>
      <w:adjustRightInd w:val="0"/>
      <w:spacing w:line="240" w:lineRule="auto"/>
    </w:pPr>
    <w:rPr>
      <w:rFonts w:ascii="EUAlbertina" w:hAnsi="EUAlbertina" w:cs="EUAlbertina"/>
      <w:sz w:val="24"/>
      <w:szCs w:val="24"/>
    </w:rPr>
  </w:style>
  <w:style w:type="character" w:styleId="ac">
    <w:name w:val="Hyperlink"/>
    <w:basedOn w:val="a0"/>
    <w:uiPriority w:val="99"/>
    <w:rsid w:val="00100C80"/>
    <w:rPr>
      <w:color w:val="0000FF"/>
      <w:u w:val="single"/>
    </w:rPr>
  </w:style>
  <w:style w:type="paragraph" w:customStyle="1" w:styleId="Normal1">
    <w:name w:val="Normal1"/>
    <w:basedOn w:val="a"/>
    <w:uiPriority w:val="99"/>
    <w:rsid w:val="00100C8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ormalvor">
    <w:name w:val="normalvor"/>
    <w:basedOn w:val="a"/>
    <w:uiPriority w:val="99"/>
    <w:rsid w:val="00100C8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ad">
    <w:name w:val="Table Grid"/>
    <w:basedOn w:val="a1"/>
    <w:uiPriority w:val="99"/>
    <w:rsid w:val="00100C8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99"/>
    <w:qFormat/>
    <w:rsid w:val="0085466D"/>
    <w:pPr>
      <w:ind w:left="720"/>
    </w:pPr>
  </w:style>
  <w:style w:type="paragraph" w:styleId="af">
    <w:name w:val="annotation subject"/>
    <w:basedOn w:val="a8"/>
    <w:next w:val="a8"/>
    <w:link w:val="af0"/>
    <w:uiPriority w:val="99"/>
    <w:semiHidden/>
    <w:rsid w:val="00FB2DE0"/>
    <w:rPr>
      <w:rFonts w:eastAsia="Calibri"/>
      <w:b/>
      <w:bCs/>
    </w:rPr>
  </w:style>
  <w:style w:type="character" w:customStyle="1" w:styleId="af0">
    <w:name w:val="Предмет на коментар Знак"/>
    <w:basedOn w:val="a9"/>
    <w:link w:val="af"/>
    <w:uiPriority w:val="99"/>
    <w:semiHidden/>
    <w:rsid w:val="00FB2DE0"/>
    <w:rPr>
      <w:rFonts w:ascii="Calibri" w:eastAsia="Times New Roman" w:hAnsi="Calibri" w:cs="Calibri"/>
      <w:b/>
      <w:bCs/>
      <w:sz w:val="20"/>
      <w:szCs w:val="20"/>
      <w:lang w:val="en-US"/>
    </w:rPr>
  </w:style>
  <w:style w:type="paragraph" w:styleId="af1">
    <w:name w:val="Normal (Web)"/>
    <w:basedOn w:val="a"/>
    <w:uiPriority w:val="99"/>
    <w:semiHidden/>
    <w:rsid w:val="001258F6"/>
    <w:rPr>
      <w:sz w:val="24"/>
      <w:szCs w:val="24"/>
    </w:rPr>
  </w:style>
  <w:style w:type="paragraph" w:styleId="af2">
    <w:name w:val="Body Text"/>
    <w:basedOn w:val="a"/>
    <w:link w:val="af3"/>
    <w:uiPriority w:val="99"/>
    <w:rsid w:val="002172E7"/>
    <w:pPr>
      <w:spacing w:after="180" w:line="240" w:lineRule="auto"/>
      <w:jc w:val="both"/>
    </w:pPr>
    <w:rPr>
      <w:rFonts w:ascii="Times New Roman" w:eastAsia="MS Mincho" w:hAnsi="Times New Roman" w:cs="Times New Roman"/>
      <w:sz w:val="24"/>
      <w:szCs w:val="24"/>
    </w:rPr>
  </w:style>
  <w:style w:type="character" w:customStyle="1" w:styleId="af3">
    <w:name w:val="Основен текст Знак"/>
    <w:basedOn w:val="a0"/>
    <w:link w:val="af2"/>
    <w:uiPriority w:val="99"/>
    <w:rsid w:val="002172E7"/>
    <w:rPr>
      <w:rFonts w:ascii="Times New Roman" w:eastAsia="MS Mincho" w:hAnsi="Times New Roman" w:cs="Times New Roman"/>
      <w:sz w:val="24"/>
      <w:szCs w:val="24"/>
      <w:lang w:val="en-GB" w:eastAsia="en-US"/>
    </w:rPr>
  </w:style>
  <w:style w:type="paragraph" w:styleId="HTML">
    <w:name w:val="HTML Preformatted"/>
    <w:basedOn w:val="a"/>
    <w:link w:val="HTML0"/>
    <w:uiPriority w:val="99"/>
    <w:rsid w:val="009C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SimHei" w:eastAsia="SimHei" w:hAnsi="Courier New" w:cs="SimHei"/>
      <w:sz w:val="20"/>
      <w:szCs w:val="20"/>
      <w:lang w:eastAsia="zh-CN"/>
    </w:rPr>
  </w:style>
  <w:style w:type="character" w:customStyle="1" w:styleId="HTML0">
    <w:name w:val="HTML стандартен Знак"/>
    <w:basedOn w:val="a0"/>
    <w:link w:val="HTML"/>
    <w:uiPriority w:val="99"/>
    <w:rsid w:val="009C4B96"/>
    <w:rPr>
      <w:rFonts w:ascii="SimHei" w:eastAsia="SimHei" w:hAnsi="Courier New" w:cs="SimHei"/>
      <w:lang w:val="en-US" w:eastAsia="zh-CN"/>
    </w:rPr>
  </w:style>
  <w:style w:type="paragraph" w:customStyle="1" w:styleId="Tabletext">
    <w:name w:val="Table text"/>
    <w:link w:val="TabletextCar"/>
    <w:uiPriority w:val="99"/>
    <w:rsid w:val="006A0CE4"/>
    <w:pPr>
      <w:keepNext/>
      <w:keepLines/>
      <w:spacing w:before="54" w:after="54"/>
    </w:pPr>
    <w:rPr>
      <w:rFonts w:ascii="Times New Roman" w:eastAsia="Times New Roman" w:hAnsi="Times New Roman"/>
      <w:sz w:val="20"/>
      <w:szCs w:val="20"/>
      <w:lang w:val="en-US" w:eastAsia="da-DK"/>
    </w:rPr>
  </w:style>
  <w:style w:type="character" w:customStyle="1" w:styleId="TabletextCar">
    <w:name w:val="Table text Car"/>
    <w:basedOn w:val="a0"/>
    <w:link w:val="Tabletext"/>
    <w:uiPriority w:val="99"/>
    <w:rsid w:val="006A0CE4"/>
    <w:rPr>
      <w:rFonts w:ascii="Times New Roman" w:hAnsi="Times New Roman" w:cs="Times New Roman"/>
      <w:lang w:val="en-US" w:eastAsia="da-DK"/>
    </w:rPr>
  </w:style>
  <w:style w:type="paragraph" w:customStyle="1" w:styleId="TOCHeading1">
    <w:name w:val="TOC Heading1"/>
    <w:basedOn w:val="1"/>
    <w:next w:val="a"/>
    <w:uiPriority w:val="99"/>
    <w:semiHidden/>
    <w:rsid w:val="009D4C75"/>
    <w:pPr>
      <w:keepLines/>
      <w:pageBreakBefore/>
      <w:numPr>
        <w:numId w:val="0"/>
      </w:numPr>
      <w:tabs>
        <w:tab w:val="left" w:pos="1418"/>
      </w:tabs>
      <w:spacing w:before="480" w:after="0"/>
      <w:outlineLvl w:val="9"/>
    </w:pPr>
    <w:rPr>
      <w:color w:val="365F91"/>
      <w:sz w:val="28"/>
      <w:szCs w:val="28"/>
    </w:rPr>
  </w:style>
  <w:style w:type="paragraph" w:styleId="21">
    <w:name w:val="toc 2"/>
    <w:basedOn w:val="a"/>
    <w:next w:val="a"/>
    <w:autoRedefine/>
    <w:uiPriority w:val="99"/>
    <w:semiHidden/>
    <w:rsid w:val="009D4C75"/>
    <w:pPr>
      <w:tabs>
        <w:tab w:val="left" w:pos="574"/>
        <w:tab w:val="right" w:leader="dot" w:pos="9639"/>
      </w:tabs>
      <w:spacing w:before="120" w:after="20" w:line="240" w:lineRule="auto"/>
      <w:ind w:left="573" w:hanging="573"/>
    </w:pPr>
    <w:rPr>
      <w:rFonts w:ascii="Arial" w:eastAsia="Times New Roman" w:hAnsi="Arial" w:cs="Arial"/>
      <w:noProof/>
      <w:sz w:val="24"/>
      <w:szCs w:val="24"/>
    </w:rPr>
  </w:style>
  <w:style w:type="paragraph" w:styleId="11">
    <w:name w:val="toc 1"/>
    <w:basedOn w:val="21"/>
    <w:next w:val="a"/>
    <w:autoRedefine/>
    <w:uiPriority w:val="99"/>
    <w:semiHidden/>
    <w:rsid w:val="009D4C75"/>
    <w:pPr>
      <w:tabs>
        <w:tab w:val="left" w:pos="373"/>
      </w:tabs>
    </w:pPr>
  </w:style>
  <w:style w:type="paragraph" w:styleId="31">
    <w:name w:val="toc 3"/>
    <w:basedOn w:val="a"/>
    <w:next w:val="a"/>
    <w:autoRedefine/>
    <w:uiPriority w:val="99"/>
    <w:semiHidden/>
    <w:rsid w:val="009D4C75"/>
    <w:pPr>
      <w:tabs>
        <w:tab w:val="left" w:pos="1171"/>
        <w:tab w:val="left" w:pos="1320"/>
        <w:tab w:val="right" w:leader="dot" w:pos="9639"/>
      </w:tabs>
      <w:spacing w:after="60"/>
      <w:ind w:left="442"/>
    </w:pPr>
    <w:rPr>
      <w:rFonts w:ascii="Arial" w:eastAsia="Times New Roman" w:hAnsi="Arial" w:cs="Arial"/>
    </w:rPr>
  </w:style>
  <w:style w:type="paragraph" w:styleId="41">
    <w:name w:val="toc 4"/>
    <w:basedOn w:val="a"/>
    <w:next w:val="a"/>
    <w:autoRedefine/>
    <w:uiPriority w:val="99"/>
    <w:semiHidden/>
    <w:rsid w:val="009D4C75"/>
    <w:pPr>
      <w:tabs>
        <w:tab w:val="left" w:pos="1512"/>
        <w:tab w:val="left" w:pos="1540"/>
        <w:tab w:val="right" w:leader="dot" w:pos="9639"/>
      </w:tabs>
      <w:ind w:left="660"/>
      <w:jc w:val="both"/>
    </w:pPr>
    <w:rPr>
      <w:rFonts w:ascii="Arial" w:hAnsi="Arial" w:cs="Arial"/>
      <w:noProof/>
      <w:sz w:val="20"/>
      <w:szCs w:val="20"/>
    </w:rPr>
  </w:style>
  <w:style w:type="paragraph" w:styleId="af4">
    <w:name w:val="footnote text"/>
    <w:basedOn w:val="32"/>
    <w:link w:val="af5"/>
    <w:uiPriority w:val="99"/>
    <w:semiHidden/>
    <w:rsid w:val="009D4C75"/>
    <w:pPr>
      <w:spacing w:after="140" w:line="240" w:lineRule="auto"/>
    </w:pPr>
    <w:rPr>
      <w:rFonts w:ascii="Times New Roman" w:eastAsia="Times New Roman" w:hAnsi="Times New Roman" w:cs="Times New Roman"/>
      <w:sz w:val="20"/>
      <w:szCs w:val="20"/>
    </w:rPr>
  </w:style>
  <w:style w:type="character" w:customStyle="1" w:styleId="af5">
    <w:name w:val="Текст под линия Знак"/>
    <w:basedOn w:val="a0"/>
    <w:link w:val="af4"/>
    <w:uiPriority w:val="99"/>
    <w:semiHidden/>
    <w:rsid w:val="009D4C75"/>
    <w:rPr>
      <w:rFonts w:ascii="Times New Roman" w:hAnsi="Times New Roman" w:cs="Times New Roman"/>
      <w:lang w:val="en-GB" w:eastAsia="en-US"/>
    </w:rPr>
  </w:style>
  <w:style w:type="paragraph" w:styleId="32">
    <w:name w:val="Body Text 3"/>
    <w:basedOn w:val="a"/>
    <w:link w:val="33"/>
    <w:uiPriority w:val="99"/>
    <w:semiHidden/>
    <w:rsid w:val="009D4C75"/>
    <w:pPr>
      <w:spacing w:after="120"/>
      <w:jc w:val="both"/>
    </w:pPr>
    <w:rPr>
      <w:rFonts w:ascii="Arial" w:hAnsi="Arial" w:cs="Arial"/>
      <w:sz w:val="16"/>
      <w:szCs w:val="16"/>
    </w:rPr>
  </w:style>
  <w:style w:type="character" w:customStyle="1" w:styleId="33">
    <w:name w:val="Основен текст 3 Знак"/>
    <w:basedOn w:val="a0"/>
    <w:link w:val="32"/>
    <w:uiPriority w:val="99"/>
    <w:semiHidden/>
    <w:rsid w:val="009D4C75"/>
    <w:rPr>
      <w:rFonts w:ascii="Arial" w:hAnsi="Arial" w:cs="Arial"/>
      <w:sz w:val="16"/>
      <w:szCs w:val="16"/>
      <w:lang w:val="en-GB" w:eastAsia="en-US"/>
    </w:rPr>
  </w:style>
  <w:style w:type="character" w:styleId="af6">
    <w:name w:val="footnote reference"/>
    <w:basedOn w:val="a0"/>
    <w:uiPriority w:val="99"/>
    <w:semiHidden/>
    <w:rsid w:val="009D4C75"/>
    <w:rPr>
      <w:position w:val="6"/>
      <w:sz w:val="16"/>
      <w:szCs w:val="16"/>
    </w:rPr>
  </w:style>
  <w:style w:type="paragraph" w:styleId="af7">
    <w:name w:val="Document Map"/>
    <w:basedOn w:val="a"/>
    <w:link w:val="af8"/>
    <w:uiPriority w:val="99"/>
    <w:semiHidden/>
    <w:rsid w:val="009D4C75"/>
    <w:pPr>
      <w:jc w:val="both"/>
    </w:pPr>
    <w:rPr>
      <w:rFonts w:ascii="Lucida Grande" w:hAnsi="Lucida Grande" w:cs="Lucida Grande"/>
      <w:sz w:val="24"/>
      <w:szCs w:val="24"/>
    </w:rPr>
  </w:style>
  <w:style w:type="character" w:customStyle="1" w:styleId="af8">
    <w:name w:val="План на документа Знак"/>
    <w:basedOn w:val="a0"/>
    <w:link w:val="af7"/>
    <w:uiPriority w:val="99"/>
    <w:semiHidden/>
    <w:rsid w:val="009D4C75"/>
    <w:rPr>
      <w:rFonts w:ascii="Lucida Grande" w:hAnsi="Lucida Grande" w:cs="Lucida Grande"/>
      <w:sz w:val="24"/>
      <w:szCs w:val="24"/>
      <w:lang w:val="en-GB" w:eastAsia="en-US"/>
    </w:rPr>
  </w:style>
  <w:style w:type="paragraph" w:customStyle="1" w:styleId="CSRNormal">
    <w:name w:val="CSR Normal"/>
    <w:basedOn w:val="a"/>
    <w:link w:val="CSRNormalChar"/>
    <w:uiPriority w:val="99"/>
    <w:rsid w:val="009D4C75"/>
    <w:pPr>
      <w:widowControl w:val="0"/>
      <w:autoSpaceDE w:val="0"/>
      <w:autoSpaceDN w:val="0"/>
      <w:adjustRightInd w:val="0"/>
      <w:spacing w:line="240" w:lineRule="auto"/>
    </w:pPr>
    <w:rPr>
      <w:rFonts w:ascii="Times" w:hAnsi="Times" w:cs="Times"/>
      <w:color w:val="000000"/>
      <w:sz w:val="20"/>
      <w:szCs w:val="20"/>
    </w:rPr>
  </w:style>
  <w:style w:type="character" w:customStyle="1" w:styleId="CSRNormalChar">
    <w:name w:val="CSR Normal Char"/>
    <w:basedOn w:val="a0"/>
    <w:link w:val="CSRNormal"/>
    <w:uiPriority w:val="99"/>
    <w:rsid w:val="009D4C75"/>
    <w:rPr>
      <w:rFonts w:ascii="Times" w:hAnsi="Times" w:cs="Times"/>
      <w:color w:val="000000"/>
      <w:sz w:val="22"/>
      <w:szCs w:val="22"/>
      <w:lang w:val="en-GB" w:eastAsia="en-US"/>
    </w:rPr>
  </w:style>
  <w:style w:type="paragraph" w:styleId="51">
    <w:name w:val="toc 5"/>
    <w:basedOn w:val="a"/>
    <w:next w:val="a"/>
    <w:autoRedefine/>
    <w:uiPriority w:val="99"/>
    <w:semiHidden/>
    <w:rsid w:val="009D4C75"/>
    <w:pPr>
      <w:spacing w:after="100" w:line="240" w:lineRule="auto"/>
      <w:ind w:left="960"/>
    </w:pPr>
    <w:rPr>
      <w:rFonts w:ascii="Cambria" w:eastAsia="Times New Roman" w:hAnsi="Cambria" w:cs="Cambria"/>
      <w:sz w:val="24"/>
      <w:szCs w:val="24"/>
    </w:rPr>
  </w:style>
  <w:style w:type="paragraph" w:styleId="61">
    <w:name w:val="toc 6"/>
    <w:basedOn w:val="a"/>
    <w:next w:val="a"/>
    <w:autoRedefine/>
    <w:uiPriority w:val="99"/>
    <w:semiHidden/>
    <w:rsid w:val="009D4C75"/>
    <w:pPr>
      <w:spacing w:after="100" w:line="240" w:lineRule="auto"/>
      <w:ind w:left="1200"/>
    </w:pPr>
    <w:rPr>
      <w:rFonts w:ascii="Cambria" w:eastAsia="Times New Roman" w:hAnsi="Cambria" w:cs="Cambria"/>
      <w:sz w:val="24"/>
      <w:szCs w:val="24"/>
    </w:rPr>
  </w:style>
  <w:style w:type="paragraph" w:styleId="71">
    <w:name w:val="toc 7"/>
    <w:basedOn w:val="a"/>
    <w:next w:val="a"/>
    <w:autoRedefine/>
    <w:uiPriority w:val="99"/>
    <w:semiHidden/>
    <w:rsid w:val="009D4C75"/>
    <w:pPr>
      <w:spacing w:after="100" w:line="240" w:lineRule="auto"/>
      <w:ind w:left="1440"/>
    </w:pPr>
    <w:rPr>
      <w:rFonts w:ascii="Cambria" w:eastAsia="Times New Roman" w:hAnsi="Cambria" w:cs="Cambria"/>
      <w:sz w:val="24"/>
      <w:szCs w:val="24"/>
    </w:rPr>
  </w:style>
  <w:style w:type="paragraph" w:styleId="81">
    <w:name w:val="toc 8"/>
    <w:basedOn w:val="a"/>
    <w:next w:val="a"/>
    <w:autoRedefine/>
    <w:uiPriority w:val="99"/>
    <w:semiHidden/>
    <w:rsid w:val="009D4C75"/>
    <w:pPr>
      <w:spacing w:after="100" w:line="240" w:lineRule="auto"/>
      <w:ind w:left="1680"/>
    </w:pPr>
    <w:rPr>
      <w:rFonts w:ascii="Cambria" w:eastAsia="Times New Roman" w:hAnsi="Cambria" w:cs="Cambria"/>
      <w:sz w:val="24"/>
      <w:szCs w:val="24"/>
    </w:rPr>
  </w:style>
  <w:style w:type="paragraph" w:styleId="91">
    <w:name w:val="toc 9"/>
    <w:basedOn w:val="a"/>
    <w:next w:val="a"/>
    <w:autoRedefine/>
    <w:uiPriority w:val="99"/>
    <w:semiHidden/>
    <w:rsid w:val="009D4C75"/>
    <w:pPr>
      <w:spacing w:after="100" w:line="240" w:lineRule="auto"/>
      <w:ind w:left="1920"/>
    </w:pPr>
    <w:rPr>
      <w:rFonts w:ascii="Cambria" w:eastAsia="Times New Roman" w:hAnsi="Cambria" w:cs="Cambria"/>
      <w:sz w:val="24"/>
      <w:szCs w:val="24"/>
    </w:rPr>
  </w:style>
  <w:style w:type="paragraph" w:customStyle="1" w:styleId="Kopzeile-fett">
    <w:name w:val="Kopzeile-fett"/>
    <w:basedOn w:val="a3"/>
    <w:rsid w:val="00B24F3B"/>
    <w:pPr>
      <w:spacing w:before="60" w:after="60"/>
    </w:pPr>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15537">
      <w:marLeft w:val="0"/>
      <w:marRight w:val="0"/>
      <w:marTop w:val="0"/>
      <w:marBottom w:val="0"/>
      <w:divBdr>
        <w:top w:val="none" w:sz="0" w:space="0" w:color="auto"/>
        <w:left w:val="none" w:sz="0" w:space="0" w:color="auto"/>
        <w:bottom w:val="none" w:sz="0" w:space="0" w:color="auto"/>
        <w:right w:val="none" w:sz="0" w:space="0" w:color="auto"/>
      </w:divBdr>
      <w:divsChild>
        <w:div w:id="1510215559">
          <w:marLeft w:val="0"/>
          <w:marRight w:val="0"/>
          <w:marTop w:val="0"/>
          <w:marBottom w:val="0"/>
          <w:divBdr>
            <w:top w:val="none" w:sz="0" w:space="0" w:color="auto"/>
            <w:left w:val="none" w:sz="0" w:space="0" w:color="auto"/>
            <w:bottom w:val="none" w:sz="0" w:space="0" w:color="auto"/>
            <w:right w:val="none" w:sz="0" w:space="0" w:color="auto"/>
          </w:divBdr>
          <w:divsChild>
            <w:div w:id="15102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539">
      <w:marLeft w:val="0"/>
      <w:marRight w:val="0"/>
      <w:marTop w:val="0"/>
      <w:marBottom w:val="0"/>
      <w:divBdr>
        <w:top w:val="none" w:sz="0" w:space="0" w:color="auto"/>
        <w:left w:val="none" w:sz="0" w:space="0" w:color="auto"/>
        <w:bottom w:val="none" w:sz="0" w:space="0" w:color="auto"/>
        <w:right w:val="none" w:sz="0" w:space="0" w:color="auto"/>
      </w:divBdr>
    </w:div>
    <w:div w:id="1510215542">
      <w:marLeft w:val="0"/>
      <w:marRight w:val="0"/>
      <w:marTop w:val="0"/>
      <w:marBottom w:val="0"/>
      <w:divBdr>
        <w:top w:val="none" w:sz="0" w:space="0" w:color="auto"/>
        <w:left w:val="none" w:sz="0" w:space="0" w:color="auto"/>
        <w:bottom w:val="none" w:sz="0" w:space="0" w:color="auto"/>
        <w:right w:val="none" w:sz="0" w:space="0" w:color="auto"/>
      </w:divBdr>
      <w:divsChild>
        <w:div w:id="1510215560">
          <w:marLeft w:val="0"/>
          <w:marRight w:val="0"/>
          <w:marTop w:val="0"/>
          <w:marBottom w:val="0"/>
          <w:divBdr>
            <w:top w:val="none" w:sz="0" w:space="0" w:color="auto"/>
            <w:left w:val="none" w:sz="0" w:space="0" w:color="auto"/>
            <w:bottom w:val="none" w:sz="0" w:space="0" w:color="auto"/>
            <w:right w:val="none" w:sz="0" w:space="0" w:color="auto"/>
          </w:divBdr>
          <w:divsChild>
            <w:div w:id="15102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544">
      <w:marLeft w:val="0"/>
      <w:marRight w:val="0"/>
      <w:marTop w:val="0"/>
      <w:marBottom w:val="0"/>
      <w:divBdr>
        <w:top w:val="none" w:sz="0" w:space="0" w:color="auto"/>
        <w:left w:val="none" w:sz="0" w:space="0" w:color="auto"/>
        <w:bottom w:val="none" w:sz="0" w:space="0" w:color="auto"/>
        <w:right w:val="none" w:sz="0" w:space="0" w:color="auto"/>
      </w:divBdr>
    </w:div>
    <w:div w:id="1510215545">
      <w:marLeft w:val="0"/>
      <w:marRight w:val="0"/>
      <w:marTop w:val="0"/>
      <w:marBottom w:val="0"/>
      <w:divBdr>
        <w:top w:val="none" w:sz="0" w:space="0" w:color="auto"/>
        <w:left w:val="none" w:sz="0" w:space="0" w:color="auto"/>
        <w:bottom w:val="none" w:sz="0" w:space="0" w:color="auto"/>
        <w:right w:val="none" w:sz="0" w:space="0" w:color="auto"/>
      </w:divBdr>
    </w:div>
    <w:div w:id="1510215546">
      <w:marLeft w:val="0"/>
      <w:marRight w:val="0"/>
      <w:marTop w:val="0"/>
      <w:marBottom w:val="0"/>
      <w:divBdr>
        <w:top w:val="none" w:sz="0" w:space="0" w:color="auto"/>
        <w:left w:val="none" w:sz="0" w:space="0" w:color="auto"/>
        <w:bottom w:val="none" w:sz="0" w:space="0" w:color="auto"/>
        <w:right w:val="none" w:sz="0" w:space="0" w:color="auto"/>
      </w:divBdr>
    </w:div>
    <w:div w:id="1510215547">
      <w:marLeft w:val="0"/>
      <w:marRight w:val="0"/>
      <w:marTop w:val="0"/>
      <w:marBottom w:val="0"/>
      <w:divBdr>
        <w:top w:val="none" w:sz="0" w:space="0" w:color="auto"/>
        <w:left w:val="none" w:sz="0" w:space="0" w:color="auto"/>
        <w:bottom w:val="none" w:sz="0" w:space="0" w:color="auto"/>
        <w:right w:val="none" w:sz="0" w:space="0" w:color="auto"/>
      </w:divBdr>
      <w:divsChild>
        <w:div w:id="1510215543">
          <w:marLeft w:val="0"/>
          <w:marRight w:val="0"/>
          <w:marTop w:val="0"/>
          <w:marBottom w:val="0"/>
          <w:divBdr>
            <w:top w:val="none" w:sz="0" w:space="0" w:color="auto"/>
            <w:left w:val="none" w:sz="0" w:space="0" w:color="auto"/>
            <w:bottom w:val="none" w:sz="0" w:space="0" w:color="auto"/>
            <w:right w:val="none" w:sz="0" w:space="0" w:color="auto"/>
          </w:divBdr>
          <w:divsChild>
            <w:div w:id="1510215549">
              <w:marLeft w:val="0"/>
              <w:marRight w:val="0"/>
              <w:marTop w:val="0"/>
              <w:marBottom w:val="0"/>
              <w:divBdr>
                <w:top w:val="none" w:sz="0" w:space="0" w:color="auto"/>
                <w:left w:val="none" w:sz="0" w:space="0" w:color="auto"/>
                <w:bottom w:val="none" w:sz="0" w:space="0" w:color="auto"/>
                <w:right w:val="none" w:sz="0" w:space="0" w:color="auto"/>
              </w:divBdr>
              <w:divsChild>
                <w:div w:id="1510215579">
                  <w:marLeft w:val="0"/>
                  <w:marRight w:val="0"/>
                  <w:marTop w:val="0"/>
                  <w:marBottom w:val="0"/>
                  <w:divBdr>
                    <w:top w:val="none" w:sz="0" w:space="0" w:color="auto"/>
                    <w:left w:val="none" w:sz="0" w:space="0" w:color="auto"/>
                    <w:bottom w:val="none" w:sz="0" w:space="0" w:color="auto"/>
                    <w:right w:val="none" w:sz="0" w:space="0" w:color="auto"/>
                  </w:divBdr>
                  <w:divsChild>
                    <w:div w:id="1510215583">
                      <w:marLeft w:val="0"/>
                      <w:marRight w:val="0"/>
                      <w:marTop w:val="0"/>
                      <w:marBottom w:val="0"/>
                      <w:divBdr>
                        <w:top w:val="none" w:sz="0" w:space="0" w:color="auto"/>
                        <w:left w:val="none" w:sz="0" w:space="0" w:color="auto"/>
                        <w:bottom w:val="none" w:sz="0" w:space="0" w:color="auto"/>
                        <w:right w:val="none" w:sz="0" w:space="0" w:color="auto"/>
                      </w:divBdr>
                      <w:divsChild>
                        <w:div w:id="1510215576">
                          <w:marLeft w:val="0"/>
                          <w:marRight w:val="0"/>
                          <w:marTop w:val="0"/>
                          <w:marBottom w:val="0"/>
                          <w:divBdr>
                            <w:top w:val="none" w:sz="0" w:space="0" w:color="auto"/>
                            <w:left w:val="none" w:sz="0" w:space="0" w:color="auto"/>
                            <w:bottom w:val="none" w:sz="0" w:space="0" w:color="auto"/>
                            <w:right w:val="none" w:sz="0" w:space="0" w:color="auto"/>
                          </w:divBdr>
                          <w:divsChild>
                            <w:div w:id="1510215584">
                              <w:marLeft w:val="0"/>
                              <w:marRight w:val="0"/>
                              <w:marTop w:val="0"/>
                              <w:marBottom w:val="0"/>
                              <w:divBdr>
                                <w:top w:val="none" w:sz="0" w:space="0" w:color="auto"/>
                                <w:left w:val="none" w:sz="0" w:space="0" w:color="auto"/>
                                <w:bottom w:val="none" w:sz="0" w:space="0" w:color="auto"/>
                                <w:right w:val="none" w:sz="0" w:space="0" w:color="auto"/>
                              </w:divBdr>
                              <w:divsChild>
                                <w:div w:id="1510215572">
                                  <w:marLeft w:val="0"/>
                                  <w:marRight w:val="0"/>
                                  <w:marTop w:val="0"/>
                                  <w:marBottom w:val="0"/>
                                  <w:divBdr>
                                    <w:top w:val="none" w:sz="0" w:space="0" w:color="auto"/>
                                    <w:left w:val="none" w:sz="0" w:space="0" w:color="auto"/>
                                    <w:bottom w:val="none" w:sz="0" w:space="0" w:color="auto"/>
                                    <w:right w:val="none" w:sz="0" w:space="0" w:color="auto"/>
                                  </w:divBdr>
                                  <w:divsChild>
                                    <w:div w:id="15102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15550">
      <w:marLeft w:val="0"/>
      <w:marRight w:val="0"/>
      <w:marTop w:val="0"/>
      <w:marBottom w:val="0"/>
      <w:divBdr>
        <w:top w:val="none" w:sz="0" w:space="0" w:color="auto"/>
        <w:left w:val="none" w:sz="0" w:space="0" w:color="auto"/>
        <w:bottom w:val="none" w:sz="0" w:space="0" w:color="auto"/>
        <w:right w:val="none" w:sz="0" w:space="0" w:color="auto"/>
      </w:divBdr>
      <w:divsChild>
        <w:div w:id="1510215563">
          <w:marLeft w:val="0"/>
          <w:marRight w:val="0"/>
          <w:marTop w:val="0"/>
          <w:marBottom w:val="0"/>
          <w:divBdr>
            <w:top w:val="none" w:sz="0" w:space="0" w:color="auto"/>
            <w:left w:val="none" w:sz="0" w:space="0" w:color="auto"/>
            <w:bottom w:val="none" w:sz="0" w:space="0" w:color="auto"/>
            <w:right w:val="none" w:sz="0" w:space="0" w:color="auto"/>
          </w:divBdr>
          <w:divsChild>
            <w:div w:id="15102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551">
      <w:marLeft w:val="0"/>
      <w:marRight w:val="0"/>
      <w:marTop w:val="0"/>
      <w:marBottom w:val="0"/>
      <w:divBdr>
        <w:top w:val="none" w:sz="0" w:space="0" w:color="auto"/>
        <w:left w:val="none" w:sz="0" w:space="0" w:color="auto"/>
        <w:bottom w:val="none" w:sz="0" w:space="0" w:color="auto"/>
        <w:right w:val="none" w:sz="0" w:space="0" w:color="auto"/>
      </w:divBdr>
    </w:div>
    <w:div w:id="1510215554">
      <w:marLeft w:val="0"/>
      <w:marRight w:val="0"/>
      <w:marTop w:val="0"/>
      <w:marBottom w:val="0"/>
      <w:divBdr>
        <w:top w:val="none" w:sz="0" w:space="0" w:color="auto"/>
        <w:left w:val="none" w:sz="0" w:space="0" w:color="auto"/>
        <w:bottom w:val="none" w:sz="0" w:space="0" w:color="auto"/>
        <w:right w:val="none" w:sz="0" w:space="0" w:color="auto"/>
      </w:divBdr>
    </w:div>
    <w:div w:id="1510215555">
      <w:marLeft w:val="0"/>
      <w:marRight w:val="0"/>
      <w:marTop w:val="0"/>
      <w:marBottom w:val="0"/>
      <w:divBdr>
        <w:top w:val="none" w:sz="0" w:space="0" w:color="auto"/>
        <w:left w:val="none" w:sz="0" w:space="0" w:color="auto"/>
        <w:bottom w:val="none" w:sz="0" w:space="0" w:color="auto"/>
        <w:right w:val="none" w:sz="0" w:space="0" w:color="auto"/>
      </w:divBdr>
    </w:div>
    <w:div w:id="1510215557">
      <w:marLeft w:val="0"/>
      <w:marRight w:val="0"/>
      <w:marTop w:val="0"/>
      <w:marBottom w:val="0"/>
      <w:divBdr>
        <w:top w:val="none" w:sz="0" w:space="0" w:color="auto"/>
        <w:left w:val="none" w:sz="0" w:space="0" w:color="auto"/>
        <w:bottom w:val="none" w:sz="0" w:space="0" w:color="auto"/>
        <w:right w:val="none" w:sz="0" w:space="0" w:color="auto"/>
      </w:divBdr>
      <w:divsChild>
        <w:div w:id="1510215568">
          <w:marLeft w:val="0"/>
          <w:marRight w:val="0"/>
          <w:marTop w:val="0"/>
          <w:marBottom w:val="0"/>
          <w:divBdr>
            <w:top w:val="none" w:sz="0" w:space="0" w:color="auto"/>
            <w:left w:val="none" w:sz="0" w:space="0" w:color="auto"/>
            <w:bottom w:val="none" w:sz="0" w:space="0" w:color="auto"/>
            <w:right w:val="none" w:sz="0" w:space="0" w:color="auto"/>
          </w:divBdr>
          <w:divsChild>
            <w:div w:id="15102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558">
      <w:marLeft w:val="0"/>
      <w:marRight w:val="0"/>
      <w:marTop w:val="0"/>
      <w:marBottom w:val="0"/>
      <w:divBdr>
        <w:top w:val="none" w:sz="0" w:space="0" w:color="auto"/>
        <w:left w:val="none" w:sz="0" w:space="0" w:color="auto"/>
        <w:bottom w:val="none" w:sz="0" w:space="0" w:color="auto"/>
        <w:right w:val="none" w:sz="0" w:space="0" w:color="auto"/>
      </w:divBdr>
      <w:divsChild>
        <w:div w:id="1510215569">
          <w:marLeft w:val="0"/>
          <w:marRight w:val="0"/>
          <w:marTop w:val="0"/>
          <w:marBottom w:val="0"/>
          <w:divBdr>
            <w:top w:val="none" w:sz="0" w:space="0" w:color="auto"/>
            <w:left w:val="none" w:sz="0" w:space="0" w:color="auto"/>
            <w:bottom w:val="none" w:sz="0" w:space="0" w:color="auto"/>
            <w:right w:val="none" w:sz="0" w:space="0" w:color="auto"/>
          </w:divBdr>
          <w:divsChild>
            <w:div w:id="15102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561">
      <w:marLeft w:val="0"/>
      <w:marRight w:val="0"/>
      <w:marTop w:val="0"/>
      <w:marBottom w:val="0"/>
      <w:divBdr>
        <w:top w:val="none" w:sz="0" w:space="0" w:color="auto"/>
        <w:left w:val="none" w:sz="0" w:space="0" w:color="auto"/>
        <w:bottom w:val="none" w:sz="0" w:space="0" w:color="auto"/>
        <w:right w:val="none" w:sz="0" w:space="0" w:color="auto"/>
      </w:divBdr>
    </w:div>
    <w:div w:id="1510215564">
      <w:marLeft w:val="0"/>
      <w:marRight w:val="0"/>
      <w:marTop w:val="0"/>
      <w:marBottom w:val="0"/>
      <w:divBdr>
        <w:top w:val="none" w:sz="0" w:space="0" w:color="auto"/>
        <w:left w:val="none" w:sz="0" w:space="0" w:color="auto"/>
        <w:bottom w:val="none" w:sz="0" w:space="0" w:color="auto"/>
        <w:right w:val="none" w:sz="0" w:space="0" w:color="auto"/>
      </w:divBdr>
    </w:div>
    <w:div w:id="1510215565">
      <w:marLeft w:val="0"/>
      <w:marRight w:val="0"/>
      <w:marTop w:val="0"/>
      <w:marBottom w:val="0"/>
      <w:divBdr>
        <w:top w:val="none" w:sz="0" w:space="0" w:color="auto"/>
        <w:left w:val="none" w:sz="0" w:space="0" w:color="auto"/>
        <w:bottom w:val="none" w:sz="0" w:space="0" w:color="auto"/>
        <w:right w:val="none" w:sz="0" w:space="0" w:color="auto"/>
      </w:divBdr>
    </w:div>
    <w:div w:id="1510215570">
      <w:marLeft w:val="0"/>
      <w:marRight w:val="0"/>
      <w:marTop w:val="0"/>
      <w:marBottom w:val="0"/>
      <w:divBdr>
        <w:top w:val="none" w:sz="0" w:space="0" w:color="auto"/>
        <w:left w:val="none" w:sz="0" w:space="0" w:color="auto"/>
        <w:bottom w:val="none" w:sz="0" w:space="0" w:color="auto"/>
        <w:right w:val="none" w:sz="0" w:space="0" w:color="auto"/>
      </w:divBdr>
    </w:div>
    <w:div w:id="1510215571">
      <w:marLeft w:val="0"/>
      <w:marRight w:val="0"/>
      <w:marTop w:val="0"/>
      <w:marBottom w:val="0"/>
      <w:divBdr>
        <w:top w:val="none" w:sz="0" w:space="0" w:color="auto"/>
        <w:left w:val="none" w:sz="0" w:space="0" w:color="auto"/>
        <w:bottom w:val="none" w:sz="0" w:space="0" w:color="auto"/>
        <w:right w:val="none" w:sz="0" w:space="0" w:color="auto"/>
      </w:divBdr>
    </w:div>
    <w:div w:id="1510215574">
      <w:marLeft w:val="0"/>
      <w:marRight w:val="0"/>
      <w:marTop w:val="0"/>
      <w:marBottom w:val="0"/>
      <w:divBdr>
        <w:top w:val="none" w:sz="0" w:space="0" w:color="auto"/>
        <w:left w:val="none" w:sz="0" w:space="0" w:color="auto"/>
        <w:bottom w:val="none" w:sz="0" w:space="0" w:color="auto"/>
        <w:right w:val="none" w:sz="0" w:space="0" w:color="auto"/>
      </w:divBdr>
    </w:div>
    <w:div w:id="1510215578">
      <w:marLeft w:val="0"/>
      <w:marRight w:val="0"/>
      <w:marTop w:val="0"/>
      <w:marBottom w:val="0"/>
      <w:divBdr>
        <w:top w:val="none" w:sz="0" w:space="0" w:color="auto"/>
        <w:left w:val="none" w:sz="0" w:space="0" w:color="auto"/>
        <w:bottom w:val="none" w:sz="0" w:space="0" w:color="auto"/>
        <w:right w:val="none" w:sz="0" w:space="0" w:color="auto"/>
      </w:divBdr>
    </w:div>
    <w:div w:id="1510215580">
      <w:marLeft w:val="0"/>
      <w:marRight w:val="0"/>
      <w:marTop w:val="0"/>
      <w:marBottom w:val="0"/>
      <w:divBdr>
        <w:top w:val="none" w:sz="0" w:space="0" w:color="auto"/>
        <w:left w:val="none" w:sz="0" w:space="0" w:color="auto"/>
        <w:bottom w:val="none" w:sz="0" w:space="0" w:color="auto"/>
        <w:right w:val="none" w:sz="0" w:space="0" w:color="auto"/>
      </w:divBdr>
      <w:divsChild>
        <w:div w:id="1510215556">
          <w:marLeft w:val="0"/>
          <w:marRight w:val="0"/>
          <w:marTop w:val="0"/>
          <w:marBottom w:val="0"/>
          <w:divBdr>
            <w:top w:val="none" w:sz="0" w:space="0" w:color="auto"/>
            <w:left w:val="none" w:sz="0" w:space="0" w:color="auto"/>
            <w:bottom w:val="none" w:sz="0" w:space="0" w:color="auto"/>
            <w:right w:val="none" w:sz="0" w:space="0" w:color="auto"/>
          </w:divBdr>
          <w:divsChild>
            <w:div w:id="1510215577">
              <w:marLeft w:val="0"/>
              <w:marRight w:val="0"/>
              <w:marTop w:val="0"/>
              <w:marBottom w:val="0"/>
              <w:divBdr>
                <w:top w:val="none" w:sz="0" w:space="0" w:color="auto"/>
                <w:left w:val="none" w:sz="0" w:space="0" w:color="auto"/>
                <w:bottom w:val="none" w:sz="0" w:space="0" w:color="auto"/>
                <w:right w:val="none" w:sz="0" w:space="0" w:color="auto"/>
              </w:divBdr>
              <w:divsChild>
                <w:div w:id="1510215552">
                  <w:marLeft w:val="0"/>
                  <w:marRight w:val="0"/>
                  <w:marTop w:val="0"/>
                  <w:marBottom w:val="0"/>
                  <w:divBdr>
                    <w:top w:val="none" w:sz="0" w:space="0" w:color="auto"/>
                    <w:left w:val="none" w:sz="0" w:space="0" w:color="auto"/>
                    <w:bottom w:val="none" w:sz="0" w:space="0" w:color="auto"/>
                    <w:right w:val="none" w:sz="0" w:space="0" w:color="auto"/>
                  </w:divBdr>
                  <w:divsChild>
                    <w:div w:id="1510215538">
                      <w:marLeft w:val="0"/>
                      <w:marRight w:val="0"/>
                      <w:marTop w:val="0"/>
                      <w:marBottom w:val="0"/>
                      <w:divBdr>
                        <w:top w:val="none" w:sz="0" w:space="0" w:color="auto"/>
                        <w:left w:val="none" w:sz="0" w:space="0" w:color="auto"/>
                        <w:bottom w:val="none" w:sz="0" w:space="0" w:color="auto"/>
                        <w:right w:val="none" w:sz="0" w:space="0" w:color="auto"/>
                      </w:divBdr>
                      <w:divsChild>
                        <w:div w:id="1510215575">
                          <w:marLeft w:val="0"/>
                          <w:marRight w:val="0"/>
                          <w:marTop w:val="0"/>
                          <w:marBottom w:val="0"/>
                          <w:divBdr>
                            <w:top w:val="none" w:sz="0" w:space="0" w:color="auto"/>
                            <w:left w:val="none" w:sz="0" w:space="0" w:color="auto"/>
                            <w:bottom w:val="none" w:sz="0" w:space="0" w:color="auto"/>
                            <w:right w:val="none" w:sz="0" w:space="0" w:color="auto"/>
                          </w:divBdr>
                          <w:divsChild>
                            <w:div w:id="1510215541">
                              <w:marLeft w:val="0"/>
                              <w:marRight w:val="0"/>
                              <w:marTop w:val="0"/>
                              <w:marBottom w:val="0"/>
                              <w:divBdr>
                                <w:top w:val="none" w:sz="0" w:space="0" w:color="auto"/>
                                <w:left w:val="none" w:sz="0" w:space="0" w:color="auto"/>
                                <w:bottom w:val="none" w:sz="0" w:space="0" w:color="auto"/>
                                <w:right w:val="none" w:sz="0" w:space="0" w:color="auto"/>
                              </w:divBdr>
                              <w:divsChild>
                                <w:div w:id="1510215567">
                                  <w:marLeft w:val="0"/>
                                  <w:marRight w:val="0"/>
                                  <w:marTop w:val="0"/>
                                  <w:marBottom w:val="0"/>
                                  <w:divBdr>
                                    <w:top w:val="none" w:sz="0" w:space="0" w:color="auto"/>
                                    <w:left w:val="none" w:sz="0" w:space="0" w:color="auto"/>
                                    <w:bottom w:val="none" w:sz="0" w:space="0" w:color="auto"/>
                                    <w:right w:val="none" w:sz="0" w:space="0" w:color="auto"/>
                                  </w:divBdr>
                                  <w:divsChild>
                                    <w:div w:id="15102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15581">
      <w:marLeft w:val="0"/>
      <w:marRight w:val="0"/>
      <w:marTop w:val="0"/>
      <w:marBottom w:val="0"/>
      <w:divBdr>
        <w:top w:val="none" w:sz="0" w:space="0" w:color="auto"/>
        <w:left w:val="none" w:sz="0" w:space="0" w:color="auto"/>
        <w:bottom w:val="none" w:sz="0" w:space="0" w:color="auto"/>
        <w:right w:val="none" w:sz="0" w:space="0" w:color="auto"/>
      </w:divBdr>
    </w:div>
    <w:div w:id="1510215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c.de/mease.html" TargetMode="Externa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oter" Target="footer5.xml"/><Relationship Id="rId39" Type="http://schemas.openxmlformats.org/officeDocument/2006/relationships/hyperlink" Target="http://www.ebrc.de/mease.html" TargetMode="External"/><Relationship Id="rId3" Type="http://schemas.openxmlformats.org/officeDocument/2006/relationships/styles" Target="styles.xml"/><Relationship Id="rId21" Type="http://schemas.openxmlformats.org/officeDocument/2006/relationships/hyperlink" Target="http://www.ebrc.de/mease.html"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brc.de/mease.html" TargetMode="External"/><Relationship Id="rId25" Type="http://schemas.openxmlformats.org/officeDocument/2006/relationships/header" Target="header5.xml"/><Relationship Id="rId33" Type="http://schemas.openxmlformats.org/officeDocument/2006/relationships/hyperlink" Target="http://www.ebrc.de/mease.html" TargetMode="External"/><Relationship Id="rId38" Type="http://schemas.openxmlformats.org/officeDocument/2006/relationships/hyperlink" Target="http://www.ebrc.de/mease.htm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ebrc.de/mease.html" TargetMode="Externa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brc.de/mease.html" TargetMode="Externa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ww.ebrc.de/mease.html"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brc.de/mease.html" TargetMode="External"/><Relationship Id="rId27" Type="http://schemas.openxmlformats.org/officeDocument/2006/relationships/hyperlink" Target="http://www.ebrc.de/mease.html" TargetMode="External"/><Relationship Id="rId30" Type="http://schemas.openxmlformats.org/officeDocument/2006/relationships/hyperlink" Target="http://www.ebrc.de/mease.html" TargetMode="External"/><Relationship Id="rId35"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56FA-AB1E-4AE3-A0E7-B2A94DF6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40542</Words>
  <Characters>231093</Characters>
  <Application>Microsoft Office Word</Application>
  <DocSecurity>0</DocSecurity>
  <Lines>1925</Lines>
  <Paragraphs>542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2018-04-26T10:57:00Z</dcterms:created>
  <dcterms:modified xsi:type="dcterms:W3CDTF">2018-04-26T10:58:00Z</dcterms:modified>
</cp:coreProperties>
</file>